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B03510" w:rsidRPr="00E039E1" w:rsidRDefault="00B03510"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B03510" w:rsidRPr="00E039E1" w:rsidRDefault="00B03510" w:rsidP="00CA513B">
                            <w:pPr>
                              <w:pStyle w:val="NoSpacing"/>
                              <w:rPr>
                                <w:rStyle w:val="Strong"/>
                                <w:color w:val="1F497D" w:themeColor="text2"/>
                              </w:rPr>
                            </w:pPr>
                            <w:r w:rsidRPr="00E039E1">
                              <w:rPr>
                                <w:rStyle w:val="Strong"/>
                                <w:color w:val="1F497D" w:themeColor="text2"/>
                              </w:rPr>
                              <w:t>Date:</w:t>
                            </w:r>
                            <w:r>
                              <w:rPr>
                                <w:rStyle w:val="Strong"/>
                                <w:color w:val="1F497D" w:themeColor="text2"/>
                              </w:rPr>
                              <w:t xml:space="preserve"> 6-3-15</w:t>
                            </w:r>
                          </w:p>
                          <w:p w:rsidR="00B03510" w:rsidRPr="00E039E1" w:rsidRDefault="00B03510"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B03510" w:rsidRDefault="00B03510"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221 State Street, Augusta </w:t>
                            </w:r>
                          </w:p>
                          <w:p w:rsidR="00B03510" w:rsidRDefault="00B03510" w:rsidP="00CA513B">
                            <w:pPr>
                              <w:pStyle w:val="NoSpacing"/>
                              <w:rPr>
                                <w:rStyle w:val="Strong"/>
                                <w:color w:val="1F497D" w:themeColor="text2"/>
                              </w:rPr>
                            </w:pPr>
                            <w:r>
                              <w:rPr>
                                <w:rStyle w:val="Strong"/>
                                <w:color w:val="1F497D" w:themeColor="text2"/>
                              </w:rPr>
                              <w:t>First Floor Conference Room</w:t>
                            </w:r>
                          </w:p>
                          <w:p w:rsidR="00B03510" w:rsidRDefault="00B03510" w:rsidP="00CA513B">
                            <w:pPr>
                              <w:pStyle w:val="NoSpacing"/>
                              <w:rPr>
                                <w:rStyle w:val="Strong"/>
                                <w:color w:val="1F497D" w:themeColor="text2"/>
                              </w:rPr>
                            </w:pPr>
                            <w:r>
                              <w:rPr>
                                <w:rStyle w:val="Strong"/>
                                <w:color w:val="1F497D" w:themeColor="text2"/>
                              </w:rPr>
                              <w:t>Call In Number: 1-866-740-1260</w:t>
                            </w:r>
                          </w:p>
                          <w:p w:rsidR="00B03510" w:rsidRDefault="00B03510" w:rsidP="00CA513B">
                            <w:pPr>
                              <w:pStyle w:val="NoSpacing"/>
                              <w:rPr>
                                <w:rStyle w:val="Strong"/>
                                <w:color w:val="1F497D" w:themeColor="text2"/>
                              </w:rPr>
                            </w:pPr>
                            <w:r>
                              <w:rPr>
                                <w:rStyle w:val="Strong"/>
                                <w:color w:val="1F497D" w:themeColor="text2"/>
                              </w:rPr>
                              <w:t>Access Code: 7117361#</w:t>
                            </w:r>
                          </w:p>
                          <w:p w:rsidR="00B03510" w:rsidRDefault="00B03510" w:rsidP="00CA513B">
                            <w:pPr>
                              <w:pStyle w:val="NoSpacing"/>
                              <w:rPr>
                                <w:rStyle w:val="Strong"/>
                                <w:color w:val="1F497D" w:themeColor="text2"/>
                              </w:rPr>
                            </w:pPr>
                          </w:p>
                          <w:p w:rsidR="00B03510" w:rsidRDefault="00B03510" w:rsidP="00CA513B">
                            <w:pPr>
                              <w:pStyle w:val="NoSpacing"/>
                            </w:pPr>
                          </w:p>
                          <w:p w:rsidR="00B03510" w:rsidRDefault="00B03510">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B03510" w:rsidRPr="00E039E1" w:rsidRDefault="00B03510"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B03510" w:rsidRPr="00E039E1" w:rsidRDefault="00B03510" w:rsidP="00CA513B">
                      <w:pPr>
                        <w:pStyle w:val="NoSpacing"/>
                        <w:rPr>
                          <w:rStyle w:val="Strong"/>
                          <w:color w:val="1F497D" w:themeColor="text2"/>
                        </w:rPr>
                      </w:pPr>
                      <w:r w:rsidRPr="00E039E1">
                        <w:rPr>
                          <w:rStyle w:val="Strong"/>
                          <w:color w:val="1F497D" w:themeColor="text2"/>
                        </w:rPr>
                        <w:t>Date:</w:t>
                      </w:r>
                      <w:r>
                        <w:rPr>
                          <w:rStyle w:val="Strong"/>
                          <w:color w:val="1F497D" w:themeColor="text2"/>
                        </w:rPr>
                        <w:t xml:space="preserve"> 6-3-15</w:t>
                      </w:r>
                    </w:p>
                    <w:p w:rsidR="00B03510" w:rsidRPr="00E039E1" w:rsidRDefault="00B03510"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B03510" w:rsidRDefault="00B03510"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221 State Street, Augusta </w:t>
                      </w:r>
                    </w:p>
                    <w:p w:rsidR="00B03510" w:rsidRDefault="00B03510" w:rsidP="00CA513B">
                      <w:pPr>
                        <w:pStyle w:val="NoSpacing"/>
                        <w:rPr>
                          <w:rStyle w:val="Strong"/>
                          <w:color w:val="1F497D" w:themeColor="text2"/>
                        </w:rPr>
                      </w:pPr>
                      <w:r>
                        <w:rPr>
                          <w:rStyle w:val="Strong"/>
                          <w:color w:val="1F497D" w:themeColor="text2"/>
                        </w:rPr>
                        <w:t>First Floor Conference Room</w:t>
                      </w:r>
                    </w:p>
                    <w:p w:rsidR="00B03510" w:rsidRDefault="00B03510" w:rsidP="00CA513B">
                      <w:pPr>
                        <w:pStyle w:val="NoSpacing"/>
                        <w:rPr>
                          <w:rStyle w:val="Strong"/>
                          <w:color w:val="1F497D" w:themeColor="text2"/>
                        </w:rPr>
                      </w:pPr>
                      <w:r>
                        <w:rPr>
                          <w:rStyle w:val="Strong"/>
                          <w:color w:val="1F497D" w:themeColor="text2"/>
                        </w:rPr>
                        <w:t>Call In Number: 1-866-740-1260</w:t>
                      </w:r>
                    </w:p>
                    <w:p w:rsidR="00B03510" w:rsidRDefault="00B03510" w:rsidP="00CA513B">
                      <w:pPr>
                        <w:pStyle w:val="NoSpacing"/>
                        <w:rPr>
                          <w:rStyle w:val="Strong"/>
                          <w:color w:val="1F497D" w:themeColor="text2"/>
                        </w:rPr>
                      </w:pPr>
                      <w:r>
                        <w:rPr>
                          <w:rStyle w:val="Strong"/>
                          <w:color w:val="1F497D" w:themeColor="text2"/>
                        </w:rPr>
                        <w:t>Access Code: 7117361#</w:t>
                      </w:r>
                    </w:p>
                    <w:p w:rsidR="00B03510" w:rsidRDefault="00B03510" w:rsidP="00CA513B">
                      <w:pPr>
                        <w:pStyle w:val="NoSpacing"/>
                        <w:rPr>
                          <w:rStyle w:val="Strong"/>
                          <w:color w:val="1F497D" w:themeColor="text2"/>
                        </w:rPr>
                      </w:pPr>
                    </w:p>
                    <w:p w:rsidR="00B03510" w:rsidRDefault="00B03510" w:rsidP="00CA513B">
                      <w:pPr>
                        <w:pStyle w:val="NoSpacing"/>
                      </w:pPr>
                    </w:p>
                    <w:p w:rsidR="00B03510" w:rsidRDefault="00B03510">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rPr>
          <w:noProof/>
        </w:rPr>
        <w:drawing>
          <wp:inline distT="0" distB="0" distL="0" distR="0" wp14:anchorId="6DE46FD1" wp14:editId="6FA28D86">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rsidR="00B360D6" w:rsidRPr="00382C14" w:rsidRDefault="00B360D6" w:rsidP="00B360D6">
      <w:r w:rsidRPr="00382C14">
        <w:rPr>
          <w:b/>
        </w:rPr>
        <w:t xml:space="preserve">Chair: Lisa Tuttle, </w:t>
      </w:r>
      <w:r w:rsidRPr="00220051">
        <w:t>Maine Quality Counts</w:t>
      </w:r>
      <w:r w:rsidRPr="00382C14">
        <w:t xml:space="preserve"> </w:t>
      </w:r>
      <w:hyperlink r:id="rId11" w:history="1">
        <w:r w:rsidRPr="00382C14">
          <w:rPr>
            <w:rStyle w:val="Hyperlink"/>
          </w:rPr>
          <w:t>ltuttle@mainequalitycounts.org</w:t>
        </w:r>
      </w:hyperlink>
    </w:p>
    <w:p w:rsidR="00585463" w:rsidRPr="00382C14" w:rsidRDefault="00B360D6" w:rsidP="00B360D6">
      <w:pPr>
        <w:pStyle w:val="NoSpacing"/>
      </w:pPr>
      <w:r w:rsidRPr="00382C14">
        <w:rPr>
          <w:b/>
        </w:rPr>
        <w:t>Core Member Attendance:</w:t>
      </w:r>
      <w:r w:rsidR="009F7035" w:rsidRPr="00382C14">
        <w:t xml:space="preserve"> </w:t>
      </w:r>
      <w:r w:rsidRPr="00382C14">
        <w:t xml:space="preserve"> </w:t>
      </w:r>
      <w:r w:rsidR="00C05E37" w:rsidRPr="00382C14">
        <w:t xml:space="preserve"> </w:t>
      </w:r>
      <w:r w:rsidR="00051E6B">
        <w:t xml:space="preserve"> </w:t>
      </w:r>
      <w:r w:rsidR="007756E1">
        <w:t>Kathryn Brandt, Chr</w:t>
      </w:r>
      <w:r w:rsidR="00DF25EA">
        <w:t xml:space="preserve">is </w:t>
      </w:r>
      <w:proofErr w:type="spellStart"/>
      <w:r w:rsidR="00DF25EA">
        <w:t>Pezzullo</w:t>
      </w:r>
      <w:proofErr w:type="spellEnd"/>
      <w:r w:rsidR="00DF25EA">
        <w:t xml:space="preserve">, Patricia </w:t>
      </w:r>
      <w:proofErr w:type="spellStart"/>
      <w:r w:rsidR="00DF25EA">
        <w:t>Thorsen</w:t>
      </w:r>
      <w:proofErr w:type="spellEnd"/>
      <w:r w:rsidR="00DF25EA">
        <w:t xml:space="preserve">, </w:t>
      </w:r>
      <w:r w:rsidR="00FA67BE">
        <w:t>Lyndsay</w:t>
      </w:r>
      <w:r w:rsidR="007756E1">
        <w:t xml:space="preserve"> Sanborn, Catherine Ryder, Jud Knox</w:t>
      </w:r>
      <w:r w:rsidR="00BE2B92">
        <w:t>, Emilie van Eeg</w:t>
      </w:r>
      <w:r w:rsidR="00FA67BE">
        <w:t>he</w:t>
      </w:r>
      <w:r w:rsidR="00BE2B92">
        <w:t>n, Katie Sendze</w:t>
      </w:r>
    </w:p>
    <w:p w:rsidR="00051E6B" w:rsidRDefault="00B360D6" w:rsidP="00B360D6">
      <w:r w:rsidRPr="00382C14">
        <w:rPr>
          <w:b/>
        </w:rPr>
        <w:t>Ad-Hoc Members</w:t>
      </w:r>
      <w:r w:rsidR="00585463" w:rsidRPr="00382C14">
        <w:rPr>
          <w:b/>
        </w:rPr>
        <w:t xml:space="preserve">: </w:t>
      </w:r>
      <w:r w:rsidR="00F03098">
        <w:t xml:space="preserve"> </w:t>
      </w:r>
      <w:r w:rsidR="00051E6B">
        <w:t xml:space="preserve"> </w:t>
      </w:r>
      <w:r w:rsidR="00EB3D4C">
        <w:t xml:space="preserve"> </w:t>
      </w:r>
      <w:r w:rsidR="00FA67BE">
        <w:t>Regen Gallagher, Becky Hayes Boober</w:t>
      </w:r>
    </w:p>
    <w:p w:rsidR="00B360D6" w:rsidRPr="00382C14" w:rsidRDefault="00B360D6" w:rsidP="00B360D6">
      <w:r w:rsidRPr="00382C14">
        <w:rPr>
          <w:b/>
        </w:rPr>
        <w:t>Interested Parties &amp; Guests</w:t>
      </w:r>
      <w:r w:rsidR="00B10C95" w:rsidRPr="00382C14">
        <w:rPr>
          <w:b/>
        </w:rPr>
        <w:t xml:space="preserve">: </w:t>
      </w:r>
      <w:r w:rsidR="00C05E37" w:rsidRPr="00382C14">
        <w:rPr>
          <w:b/>
        </w:rPr>
        <w:t xml:space="preserve"> </w:t>
      </w:r>
      <w:r w:rsidR="00F03098">
        <w:t xml:space="preserve"> </w:t>
      </w:r>
      <w:r w:rsidR="007756E1">
        <w:t xml:space="preserve">Randy Chenard, </w:t>
      </w:r>
      <w:r w:rsidR="00FA67BE">
        <w:t xml:space="preserve">Gloria Aponte Clark, </w:t>
      </w:r>
      <w:r w:rsidR="007756E1">
        <w:t xml:space="preserve">Anne Connors, </w:t>
      </w:r>
      <w:r w:rsidR="00FA67BE">
        <w:t xml:space="preserve">Loretta Dutill, Lisa Letourneau, Sandra Parker, </w:t>
      </w:r>
      <w:r w:rsidR="007756E1">
        <w:t>Helena Peterson</w:t>
      </w:r>
    </w:p>
    <w:p w:rsidR="00AD5607" w:rsidRPr="00382C14" w:rsidRDefault="00B360D6" w:rsidP="008C516A">
      <w:r w:rsidRPr="00382C14">
        <w:rPr>
          <w:b/>
        </w:rPr>
        <w:t>Staff:</w:t>
      </w:r>
      <w:r w:rsidRPr="00382C14">
        <w:t xml:space="preserve"> Lise Tancrede</w:t>
      </w: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0A6C66" w:rsidP="00B562FE">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w:t>
            </w:r>
            <w:r w:rsidR="00317EB4">
              <w:rPr>
                <w:rFonts w:asciiTheme="minorHAnsi" w:hAnsiTheme="minorHAnsi" w:cstheme="minorHAnsi"/>
                <w:b/>
                <w:sz w:val="22"/>
                <w:szCs w:val="22"/>
              </w:rPr>
              <w:t xml:space="preserve"> </w:t>
            </w:r>
            <w:r w:rsidRPr="00382C14">
              <w:rPr>
                <w:rFonts w:asciiTheme="minorHAnsi" w:hAnsiTheme="minorHAnsi" w:cstheme="minorHAnsi"/>
                <w:b/>
                <w:sz w:val="22"/>
                <w:szCs w:val="22"/>
              </w:rPr>
              <w:t xml:space="preserve">Agenda Review </w:t>
            </w:r>
          </w:p>
        </w:tc>
        <w:tc>
          <w:tcPr>
            <w:tcW w:w="1620" w:type="dxa"/>
          </w:tcPr>
          <w:p w:rsidR="000A6C66" w:rsidRDefault="000A6C66" w:rsidP="0061044D">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p w:rsidR="00046DB0" w:rsidRPr="00382C14" w:rsidRDefault="00366684" w:rsidP="0061044D">
            <w:pPr>
              <w:pStyle w:val="Formal1"/>
              <w:rPr>
                <w:rFonts w:asciiTheme="minorHAnsi" w:hAnsiTheme="minorHAnsi" w:cstheme="minorHAnsi"/>
                <w:b/>
                <w:sz w:val="22"/>
                <w:szCs w:val="22"/>
              </w:rPr>
            </w:pPr>
            <w:r>
              <w:rPr>
                <w:rFonts w:asciiTheme="minorHAnsi" w:hAnsiTheme="minorHAnsi" w:cstheme="minorHAnsi"/>
                <w:b/>
                <w:sz w:val="22"/>
                <w:szCs w:val="22"/>
              </w:rPr>
              <w:t>10:00 (5 min)</w:t>
            </w:r>
          </w:p>
        </w:tc>
        <w:tc>
          <w:tcPr>
            <w:tcW w:w="4050" w:type="dxa"/>
          </w:tcPr>
          <w:p w:rsidR="00FA67BE" w:rsidRDefault="00FA67BE" w:rsidP="00737F54">
            <w:r>
              <w:t xml:space="preserve">August meeting we will </w:t>
            </w:r>
            <w:r w:rsidR="002C7BFB">
              <w:t>discuss desired SIM outcome measures, inclu</w:t>
            </w:r>
            <w:r w:rsidR="00DF25EA">
              <w:t>ding measures that apply to the</w:t>
            </w:r>
            <w:r w:rsidR="002C7BFB">
              <w:t xml:space="preserve"> Health Home</w:t>
            </w:r>
            <w:r>
              <w:t xml:space="preserve"> and Behavioral Health Homes Learning Collaborative.</w:t>
            </w:r>
          </w:p>
          <w:p w:rsidR="002C7BFB" w:rsidRDefault="002C7BFB" w:rsidP="00737F54"/>
          <w:p w:rsidR="007756E1" w:rsidRDefault="00FA67BE" w:rsidP="00737F54">
            <w:r>
              <w:t xml:space="preserve">We will revisit the primary care practice reports with continued discussion on the outcomes. </w:t>
            </w:r>
          </w:p>
          <w:p w:rsidR="003E67C2" w:rsidRPr="00382C14" w:rsidRDefault="003E67C2" w:rsidP="00737F54"/>
        </w:tc>
        <w:tc>
          <w:tcPr>
            <w:tcW w:w="2790" w:type="dxa"/>
          </w:tcPr>
          <w:p w:rsidR="000A6C66" w:rsidRPr="00382C14" w:rsidRDefault="007756E1" w:rsidP="0061044D">
            <w:pPr>
              <w:pStyle w:val="Formal1"/>
              <w:rPr>
                <w:rFonts w:asciiTheme="minorHAnsi" w:hAnsiTheme="minorHAnsi" w:cstheme="minorHAnsi"/>
                <w:b/>
                <w:sz w:val="22"/>
                <w:szCs w:val="22"/>
              </w:rPr>
            </w:pPr>
            <w:r>
              <w:rPr>
                <w:rFonts w:asciiTheme="minorHAnsi" w:hAnsiTheme="minorHAnsi" w:cstheme="minorHAnsi"/>
                <w:b/>
                <w:sz w:val="22"/>
                <w:szCs w:val="22"/>
              </w:rPr>
              <w:t xml:space="preserve">Invite Jay </w:t>
            </w:r>
            <w:proofErr w:type="spellStart"/>
            <w:r>
              <w:rPr>
                <w:rFonts w:asciiTheme="minorHAnsi" w:hAnsiTheme="minorHAnsi" w:cstheme="minorHAnsi"/>
                <w:b/>
                <w:sz w:val="22"/>
                <w:szCs w:val="22"/>
              </w:rPr>
              <w:t>Yo</w:t>
            </w:r>
            <w:r w:rsidR="00A52F08">
              <w:rPr>
                <w:rFonts w:asciiTheme="minorHAnsi" w:hAnsiTheme="minorHAnsi" w:cstheme="minorHAnsi"/>
                <w:b/>
                <w:sz w:val="22"/>
                <w:szCs w:val="22"/>
              </w:rPr>
              <w:t>e</w:t>
            </w:r>
            <w:proofErr w:type="spellEnd"/>
            <w:r>
              <w:rPr>
                <w:rFonts w:asciiTheme="minorHAnsi" w:hAnsiTheme="minorHAnsi" w:cstheme="minorHAnsi"/>
                <w:b/>
                <w:sz w:val="22"/>
                <w:szCs w:val="22"/>
              </w:rPr>
              <w:t xml:space="preserve"> to August meeting</w:t>
            </w:r>
            <w:r w:rsidR="00F03098">
              <w:rPr>
                <w:rFonts w:asciiTheme="minorHAnsi" w:hAnsiTheme="minorHAnsi" w:cstheme="minorHAnsi"/>
                <w:b/>
                <w:sz w:val="22"/>
                <w:szCs w:val="22"/>
              </w:rPr>
              <w:t xml:space="preserve"> </w:t>
            </w:r>
          </w:p>
        </w:tc>
      </w:tr>
      <w:tr w:rsidR="000A6C66" w:rsidRPr="00382C14" w:rsidTr="001D798E">
        <w:tc>
          <w:tcPr>
            <w:tcW w:w="3708" w:type="dxa"/>
          </w:tcPr>
          <w:p w:rsidR="00F80216" w:rsidRDefault="00307654" w:rsidP="0019691C">
            <w:pPr>
              <w:pStyle w:val="ListParagraph"/>
              <w:numPr>
                <w:ilvl w:val="0"/>
                <w:numId w:val="1"/>
              </w:numPr>
              <w:rPr>
                <w:rFonts w:asciiTheme="minorHAnsi" w:hAnsiTheme="minorHAnsi" w:cstheme="minorHAnsi"/>
                <w:b/>
              </w:rPr>
            </w:pPr>
            <w:r>
              <w:rPr>
                <w:rFonts w:asciiTheme="minorHAnsi" w:hAnsiTheme="minorHAnsi" w:cstheme="minorHAnsi"/>
                <w:b/>
              </w:rPr>
              <w:t xml:space="preserve">Approval of </w:t>
            </w:r>
            <w:r w:rsidR="00E44E62">
              <w:rPr>
                <w:rFonts w:asciiTheme="minorHAnsi" w:hAnsiTheme="minorHAnsi" w:cstheme="minorHAnsi"/>
                <w:b/>
              </w:rPr>
              <w:t>5-6-15</w:t>
            </w:r>
            <w:r w:rsidR="00F80216">
              <w:rPr>
                <w:rFonts w:asciiTheme="minorHAnsi" w:hAnsiTheme="minorHAnsi" w:cstheme="minorHAnsi"/>
                <w:b/>
              </w:rPr>
              <w:t xml:space="preserve"> </w:t>
            </w:r>
            <w:r>
              <w:rPr>
                <w:rFonts w:asciiTheme="minorHAnsi" w:hAnsiTheme="minorHAnsi" w:cstheme="minorHAnsi"/>
                <w:b/>
              </w:rPr>
              <w:t>DSR SIM Notes</w:t>
            </w:r>
          </w:p>
          <w:p w:rsidR="00366684" w:rsidRPr="00E44E62" w:rsidRDefault="00E44E62" w:rsidP="00E44E62">
            <w:pPr>
              <w:pStyle w:val="ListParagraph"/>
              <w:numPr>
                <w:ilvl w:val="0"/>
                <w:numId w:val="1"/>
              </w:numPr>
              <w:rPr>
                <w:rFonts w:cstheme="minorHAnsi"/>
                <w:b/>
              </w:rPr>
            </w:pPr>
            <w:r>
              <w:rPr>
                <w:rFonts w:cstheme="minorHAnsi"/>
                <w:b/>
              </w:rPr>
              <w:t>Payment Reform and Data Infrastructure (No May Meeting)</w:t>
            </w:r>
            <w:r w:rsidR="00F80216" w:rsidRPr="00F80216">
              <w:rPr>
                <w:rFonts w:cstheme="minorHAnsi"/>
                <w:b/>
              </w:rPr>
              <w:t xml:space="preserve"> </w:t>
            </w:r>
          </w:p>
          <w:p w:rsidR="00366684" w:rsidRPr="00366684" w:rsidRDefault="00366684" w:rsidP="00366684">
            <w:pPr>
              <w:rPr>
                <w:rFonts w:cstheme="minorHAnsi"/>
                <w:b/>
              </w:rPr>
            </w:pPr>
          </w:p>
        </w:tc>
        <w:tc>
          <w:tcPr>
            <w:tcW w:w="1620" w:type="dxa"/>
          </w:tcPr>
          <w:p w:rsidR="00205ACD" w:rsidRDefault="000A6C66" w:rsidP="00CA513B">
            <w:pPr>
              <w:rPr>
                <w:b/>
              </w:rPr>
            </w:pPr>
            <w:r w:rsidRPr="00382C14">
              <w:rPr>
                <w:b/>
              </w:rPr>
              <w:lastRenderedPageBreak/>
              <w:t>All</w:t>
            </w:r>
          </w:p>
          <w:p w:rsidR="000A6C66" w:rsidRPr="00382C14" w:rsidRDefault="00F80216" w:rsidP="00CA513B">
            <w:pPr>
              <w:rPr>
                <w:b/>
              </w:rPr>
            </w:pPr>
            <w:r>
              <w:rPr>
                <w:b/>
              </w:rPr>
              <w:t xml:space="preserve">10:05 (5 </w:t>
            </w:r>
            <w:r w:rsidR="00366684">
              <w:rPr>
                <w:b/>
              </w:rPr>
              <w:t>min)</w:t>
            </w:r>
          </w:p>
          <w:p w:rsidR="00046DB0" w:rsidRPr="00382C14" w:rsidRDefault="006C2122" w:rsidP="00CA513B">
            <w:pPr>
              <w:rPr>
                <w:b/>
              </w:rPr>
            </w:pPr>
            <w:r>
              <w:rPr>
                <w:b/>
              </w:rPr>
              <w:t xml:space="preserve"> </w:t>
            </w:r>
          </w:p>
          <w:p w:rsidR="000C5E04" w:rsidRPr="00382C14" w:rsidRDefault="000C5E04" w:rsidP="00CA513B">
            <w:pPr>
              <w:rPr>
                <w:b/>
              </w:rPr>
            </w:pPr>
          </w:p>
        </w:tc>
        <w:tc>
          <w:tcPr>
            <w:tcW w:w="4050" w:type="dxa"/>
          </w:tcPr>
          <w:p w:rsidR="003E67C2" w:rsidRPr="00382C14" w:rsidRDefault="007756E1" w:rsidP="00E537A7">
            <w:pPr>
              <w:spacing w:after="200" w:line="276" w:lineRule="auto"/>
              <w:rPr>
                <w:rFonts w:cstheme="minorHAnsi"/>
              </w:rPr>
            </w:pPr>
            <w:r>
              <w:rPr>
                <w:rFonts w:cstheme="minorHAnsi"/>
              </w:rPr>
              <w:lastRenderedPageBreak/>
              <w:t xml:space="preserve">No edits/corrections </w:t>
            </w:r>
            <w:r w:rsidR="00E537A7">
              <w:rPr>
                <w:rFonts w:cstheme="minorHAnsi"/>
              </w:rPr>
              <w:t>to the SIM DSR May 6, 2015 meeting</w:t>
            </w:r>
            <w:r>
              <w:rPr>
                <w:rFonts w:cstheme="minorHAnsi"/>
              </w:rPr>
              <w:t xml:space="preserve"> notes</w:t>
            </w:r>
          </w:p>
        </w:tc>
        <w:tc>
          <w:tcPr>
            <w:tcW w:w="2790" w:type="dxa"/>
          </w:tcPr>
          <w:p w:rsidR="007824F0" w:rsidRPr="00382C14" w:rsidRDefault="00E537A7" w:rsidP="00B722D3">
            <w:pPr>
              <w:spacing w:after="200" w:line="276" w:lineRule="auto"/>
              <w:rPr>
                <w:rFonts w:cstheme="minorHAnsi"/>
                <w:b/>
              </w:rPr>
            </w:pPr>
            <w:r>
              <w:rPr>
                <w:rFonts w:cstheme="minorHAnsi"/>
                <w:b/>
              </w:rPr>
              <w:t xml:space="preserve">Notes </w:t>
            </w:r>
            <w:r w:rsidR="0098727A">
              <w:rPr>
                <w:rFonts w:cstheme="minorHAnsi"/>
                <w:b/>
              </w:rPr>
              <w:t xml:space="preserve">approved </w:t>
            </w:r>
            <w:r>
              <w:rPr>
                <w:rFonts w:cstheme="minorHAnsi"/>
                <w:b/>
              </w:rPr>
              <w:t>for 5-6-15</w:t>
            </w:r>
            <w:r w:rsidR="007756E1">
              <w:rPr>
                <w:rFonts w:cstheme="minorHAnsi"/>
                <w:b/>
              </w:rPr>
              <w:t xml:space="preserve"> as presented</w:t>
            </w:r>
          </w:p>
        </w:tc>
      </w:tr>
      <w:tr w:rsidR="000C5E04" w:rsidRPr="00382C14" w:rsidTr="001D798E">
        <w:tc>
          <w:tcPr>
            <w:tcW w:w="3708" w:type="dxa"/>
          </w:tcPr>
          <w:p w:rsidR="00366684" w:rsidRDefault="00F80216" w:rsidP="00317EB4">
            <w:pPr>
              <w:pStyle w:val="ListParagraph"/>
              <w:numPr>
                <w:ilvl w:val="0"/>
                <w:numId w:val="1"/>
              </w:numPr>
              <w:rPr>
                <w:rFonts w:cstheme="minorHAnsi"/>
                <w:b/>
              </w:rPr>
            </w:pPr>
            <w:r>
              <w:rPr>
                <w:rFonts w:cstheme="minorHAnsi"/>
                <w:b/>
              </w:rPr>
              <w:lastRenderedPageBreak/>
              <w:t>Steering Committee Updates</w:t>
            </w:r>
          </w:p>
          <w:p w:rsidR="00307654" w:rsidRDefault="00307654" w:rsidP="00307654">
            <w:pPr>
              <w:pStyle w:val="ListParagraph"/>
              <w:ind w:left="360"/>
              <w:rPr>
                <w:rFonts w:cstheme="minorHAnsi"/>
                <w:b/>
              </w:rPr>
            </w:pPr>
          </w:p>
          <w:p w:rsidR="00E44E62" w:rsidRDefault="00E44E62" w:rsidP="00307654">
            <w:pPr>
              <w:pStyle w:val="ListParagraph"/>
              <w:ind w:left="360"/>
              <w:rPr>
                <w:rFonts w:cstheme="minorHAnsi"/>
                <w:b/>
              </w:rPr>
            </w:pPr>
            <w:r>
              <w:rPr>
                <w:rFonts w:cstheme="minorHAnsi"/>
                <w:b/>
              </w:rPr>
              <w:t>Development of targets for SIM outcomes on the Core Dashboard</w:t>
            </w:r>
          </w:p>
          <w:p w:rsidR="00317EB4" w:rsidRPr="00317EB4" w:rsidRDefault="00317EB4" w:rsidP="00307654">
            <w:pPr>
              <w:pStyle w:val="ListParagraph"/>
              <w:ind w:left="360"/>
              <w:rPr>
                <w:rFonts w:cstheme="minorHAnsi"/>
                <w:b/>
              </w:rPr>
            </w:pPr>
          </w:p>
        </w:tc>
        <w:tc>
          <w:tcPr>
            <w:tcW w:w="1620" w:type="dxa"/>
          </w:tcPr>
          <w:p w:rsidR="00F80216" w:rsidRPr="00382C14" w:rsidRDefault="00E44E62" w:rsidP="00CA513B">
            <w:pPr>
              <w:rPr>
                <w:b/>
              </w:rPr>
            </w:pPr>
            <w:r>
              <w:rPr>
                <w:b/>
              </w:rPr>
              <w:t>Randy Chenard 10:10 (30 min)</w:t>
            </w:r>
          </w:p>
          <w:p w:rsidR="000C5E04" w:rsidRPr="00382C14" w:rsidRDefault="000C5E04" w:rsidP="00CA513B">
            <w:pPr>
              <w:rPr>
                <w:b/>
              </w:rPr>
            </w:pPr>
          </w:p>
        </w:tc>
        <w:tc>
          <w:tcPr>
            <w:tcW w:w="4050" w:type="dxa"/>
          </w:tcPr>
          <w:p w:rsidR="00794936" w:rsidRDefault="007756E1" w:rsidP="009E21FE">
            <w:pPr>
              <w:rPr>
                <w:rFonts w:cstheme="minorHAnsi"/>
              </w:rPr>
            </w:pPr>
            <w:r>
              <w:rPr>
                <w:rFonts w:cstheme="minorHAnsi"/>
              </w:rPr>
              <w:t>SIM Core Measures Targets will take up a lot of time for the Steer</w:t>
            </w:r>
            <w:r w:rsidR="00E537A7">
              <w:rPr>
                <w:rFonts w:cstheme="minorHAnsi"/>
              </w:rPr>
              <w:t>ing Committee (SC) over the next few months.</w:t>
            </w:r>
          </w:p>
          <w:p w:rsidR="007756E1" w:rsidRDefault="007756E1" w:rsidP="009E21FE">
            <w:pPr>
              <w:rPr>
                <w:rFonts w:cstheme="minorHAnsi"/>
              </w:rPr>
            </w:pPr>
          </w:p>
          <w:p w:rsidR="007756E1" w:rsidRDefault="00E537A7" w:rsidP="009E21FE">
            <w:pPr>
              <w:rPr>
                <w:rFonts w:cstheme="minorHAnsi"/>
              </w:rPr>
            </w:pPr>
            <w:r>
              <w:rPr>
                <w:rFonts w:cstheme="minorHAnsi"/>
              </w:rPr>
              <w:t xml:space="preserve">The May 2014 workgroup, a subgroup of the SC, met to develop and establish what the </w:t>
            </w:r>
            <w:r w:rsidR="007756E1">
              <w:rPr>
                <w:rFonts w:cstheme="minorHAnsi"/>
              </w:rPr>
              <w:t xml:space="preserve">SIM Core Measures </w:t>
            </w:r>
            <w:r>
              <w:rPr>
                <w:rFonts w:cstheme="minorHAnsi"/>
              </w:rPr>
              <w:t xml:space="preserve">would </w:t>
            </w:r>
            <w:r w:rsidR="007756E1">
              <w:rPr>
                <w:rFonts w:cstheme="minorHAnsi"/>
              </w:rPr>
              <w:t xml:space="preserve">be.  </w:t>
            </w:r>
            <w:r>
              <w:rPr>
                <w:rFonts w:cstheme="minorHAnsi"/>
              </w:rPr>
              <w:t xml:space="preserve">The </w:t>
            </w:r>
            <w:r w:rsidR="007756E1">
              <w:rPr>
                <w:rFonts w:cstheme="minorHAnsi"/>
              </w:rPr>
              <w:t xml:space="preserve">Evaluators </w:t>
            </w:r>
            <w:r w:rsidR="00226615">
              <w:rPr>
                <w:rFonts w:cstheme="minorHAnsi"/>
              </w:rPr>
              <w:t xml:space="preserve">(Lewin Group) </w:t>
            </w:r>
            <w:r>
              <w:rPr>
                <w:rFonts w:cstheme="minorHAnsi"/>
              </w:rPr>
              <w:t xml:space="preserve">are obtaining the data to do the evaluations to see if SIM is </w:t>
            </w:r>
            <w:r w:rsidR="007756E1">
              <w:rPr>
                <w:rFonts w:cstheme="minorHAnsi"/>
              </w:rPr>
              <w:t>moving forward in the right direction.</w:t>
            </w:r>
          </w:p>
          <w:p w:rsidR="00226615" w:rsidRDefault="00226615" w:rsidP="009E21FE">
            <w:pPr>
              <w:rPr>
                <w:rFonts w:cstheme="minorHAnsi"/>
              </w:rPr>
            </w:pPr>
          </w:p>
          <w:p w:rsidR="00226615" w:rsidRDefault="00226615" w:rsidP="009E21FE">
            <w:pPr>
              <w:rPr>
                <w:rFonts w:cstheme="minorHAnsi"/>
              </w:rPr>
            </w:pPr>
            <w:r>
              <w:rPr>
                <w:rFonts w:cstheme="minorHAnsi"/>
              </w:rPr>
              <w:t xml:space="preserve">Evaluators currently have the </w:t>
            </w:r>
            <w:proofErr w:type="spellStart"/>
            <w:r>
              <w:rPr>
                <w:rFonts w:cstheme="minorHAnsi"/>
              </w:rPr>
              <w:t>MaineCare</w:t>
            </w:r>
            <w:proofErr w:type="spellEnd"/>
            <w:r>
              <w:rPr>
                <w:rFonts w:cstheme="minorHAnsi"/>
              </w:rPr>
              <w:t xml:space="preserve"> data, and some commercial data to review.  Still working on </w:t>
            </w:r>
            <w:r w:rsidR="00E537A7">
              <w:rPr>
                <w:rFonts w:cstheme="minorHAnsi"/>
              </w:rPr>
              <w:t xml:space="preserve">getting </w:t>
            </w:r>
            <w:r>
              <w:rPr>
                <w:rFonts w:cstheme="minorHAnsi"/>
              </w:rPr>
              <w:t>Medicare data.</w:t>
            </w:r>
          </w:p>
          <w:p w:rsidR="00226615" w:rsidRDefault="00226615" w:rsidP="009E21FE">
            <w:pPr>
              <w:rPr>
                <w:rFonts w:cstheme="minorHAnsi"/>
              </w:rPr>
            </w:pPr>
          </w:p>
          <w:p w:rsidR="003204A3" w:rsidRDefault="00226615" w:rsidP="009E21FE">
            <w:pPr>
              <w:rPr>
                <w:rFonts w:cstheme="minorHAnsi"/>
              </w:rPr>
            </w:pPr>
            <w:r>
              <w:rPr>
                <w:rFonts w:cstheme="minorHAnsi"/>
              </w:rPr>
              <w:t>SC has reviewed a first draft</w:t>
            </w:r>
            <w:r w:rsidR="003204A3">
              <w:rPr>
                <w:rFonts w:cstheme="minorHAnsi"/>
              </w:rPr>
              <w:t xml:space="preserve"> of established targets for </w:t>
            </w:r>
            <w:proofErr w:type="spellStart"/>
            <w:r w:rsidR="003204A3">
              <w:rPr>
                <w:rFonts w:cstheme="minorHAnsi"/>
              </w:rPr>
              <w:t>MaineCare</w:t>
            </w:r>
            <w:proofErr w:type="spellEnd"/>
            <w:r w:rsidR="003204A3">
              <w:rPr>
                <w:rFonts w:cstheme="minorHAnsi"/>
              </w:rPr>
              <w:t xml:space="preserve"> populations and is moving forward to establish targets for other populations.  </w:t>
            </w:r>
          </w:p>
          <w:p w:rsidR="003204A3" w:rsidRDefault="003204A3" w:rsidP="009E21FE">
            <w:pPr>
              <w:rPr>
                <w:rFonts w:cstheme="minorHAnsi"/>
              </w:rPr>
            </w:pPr>
          </w:p>
          <w:p w:rsidR="003204A3" w:rsidRDefault="003204A3" w:rsidP="003204A3">
            <w:pPr>
              <w:rPr>
                <w:rFonts w:cstheme="minorHAnsi"/>
              </w:rPr>
            </w:pPr>
            <w:r>
              <w:rPr>
                <w:rFonts w:cstheme="minorHAnsi"/>
              </w:rPr>
              <w:t>Randy shared a handout (for</w:t>
            </w:r>
            <w:r w:rsidR="00226615">
              <w:rPr>
                <w:rFonts w:cstheme="minorHAnsi"/>
              </w:rPr>
              <w:t xml:space="preserve"> Illus</w:t>
            </w:r>
            <w:r>
              <w:rPr>
                <w:rFonts w:cstheme="minorHAnsi"/>
              </w:rPr>
              <w:t>tration purposes only) on SIM Core Targets.  Some examples of Core Measures established were ED Utilization, Readmissions, Imaging, etc.</w:t>
            </w:r>
            <w:r w:rsidR="00226615">
              <w:rPr>
                <w:rFonts w:cstheme="minorHAnsi"/>
              </w:rPr>
              <w:t xml:space="preserve"> </w:t>
            </w:r>
            <w:r>
              <w:rPr>
                <w:rFonts w:cstheme="minorHAnsi"/>
              </w:rPr>
              <w:t xml:space="preserve"> There is still work to be done on target payment.</w:t>
            </w:r>
          </w:p>
          <w:p w:rsidR="00226615" w:rsidRDefault="00226615" w:rsidP="009E21FE">
            <w:pPr>
              <w:rPr>
                <w:rFonts w:cstheme="minorHAnsi"/>
              </w:rPr>
            </w:pPr>
          </w:p>
          <w:p w:rsidR="00226615" w:rsidRDefault="003204A3" w:rsidP="009E21FE">
            <w:pPr>
              <w:rPr>
                <w:rFonts w:cstheme="minorHAnsi"/>
              </w:rPr>
            </w:pPr>
            <w:r>
              <w:rPr>
                <w:rFonts w:cstheme="minorHAnsi"/>
              </w:rPr>
              <w:t xml:space="preserve">The first round of </w:t>
            </w:r>
            <w:proofErr w:type="spellStart"/>
            <w:r w:rsidR="00226615">
              <w:rPr>
                <w:rFonts w:cstheme="minorHAnsi"/>
              </w:rPr>
              <w:t>MaineCare</w:t>
            </w:r>
            <w:proofErr w:type="spellEnd"/>
            <w:r w:rsidR="00226615">
              <w:rPr>
                <w:rFonts w:cstheme="minorHAnsi"/>
              </w:rPr>
              <w:t xml:space="preserve"> t</w:t>
            </w:r>
            <w:r>
              <w:rPr>
                <w:rFonts w:cstheme="minorHAnsi"/>
              </w:rPr>
              <w:t xml:space="preserve">argets has been </w:t>
            </w:r>
            <w:r w:rsidR="00226615">
              <w:rPr>
                <w:rFonts w:cstheme="minorHAnsi"/>
              </w:rPr>
              <w:t xml:space="preserve">established.  SC has looked at benchmarks </w:t>
            </w:r>
            <w:r>
              <w:rPr>
                <w:rFonts w:cstheme="minorHAnsi"/>
              </w:rPr>
              <w:t>and trends</w:t>
            </w:r>
            <w:r w:rsidR="00A52F08">
              <w:rPr>
                <w:rFonts w:cstheme="minorHAnsi"/>
              </w:rPr>
              <w:t xml:space="preserve"> data </w:t>
            </w:r>
            <w:r w:rsidR="00226615">
              <w:rPr>
                <w:rFonts w:cstheme="minorHAnsi"/>
              </w:rPr>
              <w:t xml:space="preserve">against the national level around what are </w:t>
            </w:r>
            <w:r w:rsidR="00226615">
              <w:rPr>
                <w:rFonts w:cstheme="minorHAnsi"/>
              </w:rPr>
              <w:lastRenderedPageBreak/>
              <w:t>appropriate targets.</w:t>
            </w:r>
          </w:p>
          <w:p w:rsidR="00226615" w:rsidRDefault="00226615" w:rsidP="009E21FE">
            <w:pPr>
              <w:rPr>
                <w:rFonts w:cstheme="minorHAnsi"/>
              </w:rPr>
            </w:pPr>
          </w:p>
          <w:p w:rsidR="00226615" w:rsidRDefault="00226615" w:rsidP="009E21FE">
            <w:pPr>
              <w:rPr>
                <w:rFonts w:cstheme="minorHAnsi"/>
              </w:rPr>
            </w:pPr>
            <w:r>
              <w:rPr>
                <w:rFonts w:cstheme="minorHAnsi"/>
              </w:rPr>
              <w:t>Medicare is excited about the e</w:t>
            </w:r>
            <w:r w:rsidR="00A52F08">
              <w:rPr>
                <w:rFonts w:cstheme="minorHAnsi"/>
              </w:rPr>
              <w:t>stablishment of these targets and we h</w:t>
            </w:r>
            <w:r>
              <w:rPr>
                <w:rFonts w:cstheme="minorHAnsi"/>
              </w:rPr>
              <w:t>ave received engagement at high level at CMS.</w:t>
            </w:r>
          </w:p>
          <w:p w:rsidR="00A52F08" w:rsidRDefault="00A52F08" w:rsidP="009E21FE">
            <w:pPr>
              <w:rPr>
                <w:rFonts w:cstheme="minorHAnsi"/>
              </w:rPr>
            </w:pPr>
          </w:p>
          <w:p w:rsidR="00226615" w:rsidRDefault="00226615" w:rsidP="009E21FE">
            <w:pPr>
              <w:rPr>
                <w:rFonts w:cstheme="minorHAnsi"/>
              </w:rPr>
            </w:pPr>
            <w:r>
              <w:rPr>
                <w:rFonts w:cstheme="minorHAnsi"/>
              </w:rPr>
              <w:t xml:space="preserve">Question:  </w:t>
            </w:r>
            <w:r w:rsidR="00FA65FB">
              <w:rPr>
                <w:rFonts w:cstheme="minorHAnsi"/>
              </w:rPr>
              <w:t xml:space="preserve">Is there an </w:t>
            </w:r>
            <w:r>
              <w:rPr>
                <w:rFonts w:cstheme="minorHAnsi"/>
              </w:rPr>
              <w:t>Opportunity for DSR</w:t>
            </w:r>
            <w:r w:rsidR="00FA65FB">
              <w:rPr>
                <w:rFonts w:cstheme="minorHAnsi"/>
              </w:rPr>
              <w:t xml:space="preserve"> to use the input of practicing providers to inform discussion…how can that sequence work?  How do we leverage the DSR to help inform?</w:t>
            </w:r>
          </w:p>
          <w:p w:rsidR="00FA65FB" w:rsidRDefault="00FA65FB" w:rsidP="009E21FE">
            <w:pPr>
              <w:rPr>
                <w:rFonts w:cstheme="minorHAnsi"/>
              </w:rPr>
            </w:pPr>
          </w:p>
          <w:p w:rsidR="00FA65FB" w:rsidRDefault="00A52F08" w:rsidP="009E21FE">
            <w:pPr>
              <w:rPr>
                <w:rFonts w:cstheme="minorHAnsi"/>
              </w:rPr>
            </w:pPr>
            <w:r>
              <w:rPr>
                <w:rFonts w:cstheme="minorHAnsi"/>
              </w:rPr>
              <w:t>Randy said that w</w:t>
            </w:r>
            <w:r w:rsidR="00FA65FB">
              <w:rPr>
                <w:rFonts w:cstheme="minorHAnsi"/>
              </w:rPr>
              <w:t xml:space="preserve">orking closely with </w:t>
            </w:r>
            <w:proofErr w:type="gramStart"/>
            <w:r w:rsidR="00FA65FB">
              <w:rPr>
                <w:rFonts w:cstheme="minorHAnsi"/>
              </w:rPr>
              <w:t>Lewin,</w:t>
            </w:r>
            <w:proofErr w:type="gramEnd"/>
            <w:r w:rsidR="00FA65FB">
              <w:rPr>
                <w:rFonts w:cstheme="minorHAnsi"/>
              </w:rPr>
              <w:t xml:space="preserve"> the SC wanted to start with an initial set of targets.  The evaluation subcommittee is making the recommendations for the targets.  </w:t>
            </w:r>
            <w:r>
              <w:rPr>
                <w:rFonts w:cstheme="minorHAnsi"/>
              </w:rPr>
              <w:t>Randy suggested we c</w:t>
            </w:r>
            <w:r w:rsidR="00FA65FB">
              <w:rPr>
                <w:rFonts w:cstheme="minorHAnsi"/>
              </w:rPr>
              <w:t xml:space="preserve">ontact either Amy Wagner or Kathy Woods </w:t>
            </w:r>
            <w:r>
              <w:rPr>
                <w:rFonts w:cstheme="minorHAnsi"/>
              </w:rPr>
              <w:t xml:space="preserve">who </w:t>
            </w:r>
            <w:r w:rsidR="00FA65FB">
              <w:rPr>
                <w:rFonts w:cstheme="minorHAnsi"/>
              </w:rPr>
              <w:t>are the co- chairs of the evaluation subcommittee for that discussion question.</w:t>
            </w:r>
          </w:p>
          <w:p w:rsidR="00FA65FB" w:rsidRDefault="00FA65FB" w:rsidP="009E21FE">
            <w:pPr>
              <w:rPr>
                <w:rFonts w:cstheme="minorHAnsi"/>
              </w:rPr>
            </w:pPr>
          </w:p>
          <w:p w:rsidR="00FA65FB" w:rsidRDefault="00A52F08" w:rsidP="009E21FE">
            <w:pPr>
              <w:rPr>
                <w:rFonts w:cstheme="minorHAnsi"/>
              </w:rPr>
            </w:pPr>
            <w:r>
              <w:rPr>
                <w:rFonts w:cstheme="minorHAnsi"/>
              </w:rPr>
              <w:t xml:space="preserve">Question: </w:t>
            </w:r>
            <w:r w:rsidR="00FA65FB">
              <w:rPr>
                <w:rFonts w:cstheme="minorHAnsi"/>
              </w:rPr>
              <w:t>Is there a hard timeline for the SC to determine those targets?</w:t>
            </w:r>
          </w:p>
          <w:p w:rsidR="00FA65FB" w:rsidRDefault="00FA65FB" w:rsidP="009E21FE">
            <w:pPr>
              <w:rPr>
                <w:rFonts w:cstheme="minorHAnsi"/>
              </w:rPr>
            </w:pPr>
          </w:p>
          <w:p w:rsidR="00FA65FB" w:rsidRDefault="00FA65FB" w:rsidP="009E21FE">
            <w:pPr>
              <w:rPr>
                <w:rFonts w:cstheme="minorHAnsi"/>
              </w:rPr>
            </w:pPr>
            <w:r>
              <w:rPr>
                <w:rFonts w:cstheme="minorHAnsi"/>
              </w:rPr>
              <w:t xml:space="preserve">Randy will determine </w:t>
            </w:r>
            <w:r w:rsidR="00490E6F">
              <w:rPr>
                <w:rFonts w:cstheme="minorHAnsi"/>
              </w:rPr>
              <w:t>a timeline</w:t>
            </w:r>
            <w:r>
              <w:rPr>
                <w:rFonts w:cstheme="minorHAnsi"/>
              </w:rPr>
              <w:t xml:space="preserve"> and process with the SC to assure that we leverage the expertise.  </w:t>
            </w:r>
            <w:r w:rsidR="00A52F08">
              <w:rPr>
                <w:rFonts w:cstheme="minorHAnsi"/>
              </w:rPr>
              <w:t xml:space="preserve"> He wants targets developed and locked down by the fall.</w:t>
            </w:r>
          </w:p>
          <w:p w:rsidR="00FA65FB" w:rsidRDefault="00FA65FB" w:rsidP="009E21FE">
            <w:pPr>
              <w:rPr>
                <w:rFonts w:cstheme="minorHAnsi"/>
              </w:rPr>
            </w:pPr>
          </w:p>
          <w:p w:rsidR="00FA65FB" w:rsidRDefault="0098727A" w:rsidP="009E21FE">
            <w:pPr>
              <w:rPr>
                <w:rFonts w:cstheme="minorHAnsi"/>
              </w:rPr>
            </w:pPr>
            <w:r>
              <w:rPr>
                <w:rFonts w:cstheme="minorHAnsi"/>
              </w:rPr>
              <w:t>The group discussed the importance of setting appropriate targets</w:t>
            </w:r>
            <w:r w:rsidR="00A52F08">
              <w:rPr>
                <w:rFonts w:cstheme="minorHAnsi"/>
              </w:rPr>
              <w:t>.</w:t>
            </w:r>
          </w:p>
          <w:p w:rsidR="00490E6F" w:rsidRDefault="00490E6F" w:rsidP="009E21FE">
            <w:pPr>
              <w:rPr>
                <w:rFonts w:cstheme="minorHAnsi"/>
              </w:rPr>
            </w:pPr>
          </w:p>
          <w:p w:rsidR="00490E6F" w:rsidRPr="00490E6F" w:rsidRDefault="00962F56" w:rsidP="009E21FE">
            <w:pPr>
              <w:rPr>
                <w:rFonts w:cstheme="minorHAnsi"/>
                <w:u w:val="single"/>
              </w:rPr>
            </w:pPr>
            <w:r>
              <w:rPr>
                <w:rFonts w:cstheme="minorHAnsi"/>
              </w:rPr>
              <w:lastRenderedPageBreak/>
              <w:t xml:space="preserve">Members agreed to participate in a </w:t>
            </w:r>
            <w:r w:rsidR="00490E6F">
              <w:rPr>
                <w:rFonts w:cstheme="minorHAnsi"/>
              </w:rPr>
              <w:t>July meeting to further the discussion based on Randy’s timeline</w:t>
            </w:r>
            <w:r>
              <w:rPr>
                <w:rFonts w:cstheme="minorHAnsi"/>
              </w:rPr>
              <w:t>, if required.</w:t>
            </w:r>
          </w:p>
          <w:p w:rsidR="00FA65FB" w:rsidRDefault="00FA65FB" w:rsidP="009E21FE">
            <w:pPr>
              <w:rPr>
                <w:rFonts w:cstheme="minorHAnsi"/>
              </w:rPr>
            </w:pPr>
          </w:p>
          <w:p w:rsidR="003E67C2" w:rsidRPr="00382C14" w:rsidRDefault="00490E6F" w:rsidP="00B03510">
            <w:pPr>
              <w:rPr>
                <w:rFonts w:cstheme="minorHAnsi"/>
              </w:rPr>
            </w:pPr>
            <w:r>
              <w:rPr>
                <w:rFonts w:cstheme="minorHAnsi"/>
              </w:rPr>
              <w:t xml:space="preserve">CMI would like to see more SIM risks come across the table.  </w:t>
            </w:r>
          </w:p>
        </w:tc>
        <w:tc>
          <w:tcPr>
            <w:tcW w:w="2790" w:type="dxa"/>
          </w:tcPr>
          <w:p w:rsidR="0098727A" w:rsidRDefault="0098727A" w:rsidP="00DA7BC0">
            <w:pPr>
              <w:rPr>
                <w:b/>
              </w:rPr>
            </w:pPr>
            <w:r>
              <w:rPr>
                <w:b/>
              </w:rPr>
              <w:lastRenderedPageBreak/>
              <w:t xml:space="preserve">Subcommittee members requested participation in the explorations of </w:t>
            </w:r>
            <w:r w:rsidR="00DA7BC0" w:rsidRPr="00DA7BC0">
              <w:rPr>
                <w:b/>
              </w:rPr>
              <w:t>the SIM measure and target work</w:t>
            </w:r>
            <w:r>
              <w:rPr>
                <w:b/>
              </w:rPr>
              <w:t>, bringing the perspective of providers to the conversation</w:t>
            </w:r>
            <w:r w:rsidR="00DA7BC0" w:rsidRPr="00DA7BC0">
              <w:rPr>
                <w:b/>
              </w:rPr>
              <w:t>.</w:t>
            </w:r>
          </w:p>
          <w:p w:rsidR="0098727A" w:rsidRDefault="0098727A" w:rsidP="00DA7BC0">
            <w:pPr>
              <w:rPr>
                <w:b/>
              </w:rPr>
            </w:pPr>
          </w:p>
          <w:p w:rsidR="00DA7BC0" w:rsidRPr="00DA7BC0" w:rsidRDefault="0098727A" w:rsidP="00DA7BC0">
            <w:pPr>
              <w:rPr>
                <w:b/>
              </w:rPr>
            </w:pPr>
            <w:r>
              <w:rPr>
                <w:b/>
              </w:rPr>
              <w:t xml:space="preserve">Follow up: </w:t>
            </w:r>
            <w:r w:rsidR="00DA7BC0" w:rsidRPr="00DA7BC0">
              <w:rPr>
                <w:b/>
              </w:rPr>
              <w:t xml:space="preserve"> It was agreed at the 6-10-15 Partners meeting that the </w:t>
            </w:r>
            <w:r>
              <w:rPr>
                <w:b/>
              </w:rPr>
              <w:t xml:space="preserve">Jay </w:t>
            </w:r>
            <w:proofErr w:type="spellStart"/>
            <w:proofErr w:type="gramStart"/>
            <w:r>
              <w:rPr>
                <w:b/>
              </w:rPr>
              <w:t>Yoe</w:t>
            </w:r>
            <w:proofErr w:type="spellEnd"/>
            <w:r w:rsidR="00DA7BC0" w:rsidRPr="00DA7BC0">
              <w:rPr>
                <w:b/>
              </w:rPr>
              <w:t xml:space="preserve">  will</w:t>
            </w:r>
            <w:proofErr w:type="gramEnd"/>
            <w:r w:rsidR="00DA7BC0" w:rsidRPr="00DA7BC0">
              <w:rPr>
                <w:b/>
              </w:rPr>
              <w:t xml:space="preserve"> determine to what extent and how to involve DSR members</w:t>
            </w:r>
            <w:r>
              <w:rPr>
                <w:b/>
              </w:rPr>
              <w:t xml:space="preserve"> in the discussions of targets and measures</w:t>
            </w:r>
            <w:r w:rsidR="00DA7BC0" w:rsidRPr="00DA7BC0">
              <w:rPr>
                <w:b/>
              </w:rPr>
              <w:t>.</w:t>
            </w:r>
            <w:r>
              <w:rPr>
                <w:b/>
              </w:rPr>
              <w:t xml:space="preserve">  The Subcommittee contact list was shared to facilitate engagement directly.  Subcommittee members are also welcome to attend the Evaluation Subcommittee and Steering Committee meetings as interested parties.  </w:t>
            </w:r>
            <w:r w:rsidR="00DA7BC0" w:rsidRPr="00DA7BC0">
              <w:rPr>
                <w:b/>
              </w:rPr>
              <w:t xml:space="preserve">  </w:t>
            </w:r>
            <w:r>
              <w:rPr>
                <w:b/>
              </w:rPr>
              <w:t>Lisa T and Lise will await direction from Randy and Jay, and will forward information to the DSR membership</w:t>
            </w:r>
          </w:p>
          <w:p w:rsidR="00DA7BC0" w:rsidRDefault="00DA7BC0" w:rsidP="00DA7BC0"/>
          <w:p w:rsidR="009A674E" w:rsidRDefault="009A674E" w:rsidP="0061044D">
            <w:pPr>
              <w:rPr>
                <w:rFonts w:cstheme="minorHAnsi"/>
              </w:rPr>
            </w:pPr>
          </w:p>
          <w:p w:rsidR="00A52F08" w:rsidRDefault="00A52F08" w:rsidP="0061044D">
            <w:pPr>
              <w:rPr>
                <w:rFonts w:cstheme="minorHAnsi"/>
              </w:rPr>
            </w:pPr>
          </w:p>
          <w:p w:rsidR="00A52F08" w:rsidRDefault="00A52F08" w:rsidP="0061044D">
            <w:pPr>
              <w:rPr>
                <w:rFonts w:cstheme="minorHAnsi"/>
              </w:rPr>
            </w:pPr>
          </w:p>
          <w:p w:rsidR="00A52F08" w:rsidRPr="009E21FE" w:rsidRDefault="00A52F08" w:rsidP="00962F56">
            <w:pPr>
              <w:rPr>
                <w:rFonts w:cstheme="minorHAnsi"/>
              </w:rPr>
            </w:pPr>
          </w:p>
        </w:tc>
      </w:tr>
      <w:tr w:rsidR="000A6C66" w:rsidRPr="00382C14" w:rsidTr="001D798E">
        <w:tc>
          <w:tcPr>
            <w:tcW w:w="3708" w:type="dxa"/>
          </w:tcPr>
          <w:p w:rsidR="00366684" w:rsidRDefault="00F80216" w:rsidP="00F80216">
            <w:pPr>
              <w:pStyle w:val="ListParagraph"/>
              <w:numPr>
                <w:ilvl w:val="0"/>
                <w:numId w:val="1"/>
              </w:numPr>
              <w:rPr>
                <w:rFonts w:cstheme="minorHAnsi"/>
                <w:b/>
              </w:rPr>
            </w:pPr>
            <w:r>
              <w:rPr>
                <w:rFonts w:cstheme="minorHAnsi"/>
                <w:b/>
              </w:rPr>
              <w:lastRenderedPageBreak/>
              <w:t>Risk/Dependencies:</w:t>
            </w:r>
          </w:p>
          <w:p w:rsidR="00F80216" w:rsidRPr="00F80216" w:rsidRDefault="00E44E62" w:rsidP="00F80216">
            <w:pPr>
              <w:pStyle w:val="ListParagraph"/>
              <w:numPr>
                <w:ilvl w:val="0"/>
                <w:numId w:val="19"/>
              </w:numPr>
              <w:rPr>
                <w:rFonts w:cstheme="minorHAnsi"/>
                <w:b/>
              </w:rPr>
            </w:pPr>
            <w:r>
              <w:rPr>
                <w:rFonts w:cstheme="minorHAnsi"/>
                <w:b/>
              </w:rPr>
              <w:t>Disabilities Risk</w:t>
            </w:r>
          </w:p>
          <w:p w:rsidR="00F80216" w:rsidRDefault="00F80216" w:rsidP="00F80216">
            <w:pPr>
              <w:rPr>
                <w:rFonts w:cstheme="minorHAnsi"/>
                <w:b/>
              </w:rPr>
            </w:pPr>
          </w:p>
          <w:p w:rsidR="00317EB4" w:rsidRPr="00F80216" w:rsidRDefault="00317EB4" w:rsidP="00F80216">
            <w:pPr>
              <w:rPr>
                <w:rFonts w:cstheme="minorHAnsi"/>
                <w:b/>
              </w:rPr>
            </w:pPr>
            <w:r w:rsidRPr="00F80216">
              <w:rPr>
                <w:rFonts w:cstheme="minorHAnsi"/>
                <w:b/>
              </w:rPr>
              <w:t>Expected Actions</w:t>
            </w:r>
            <w:r w:rsidR="00F80216">
              <w:rPr>
                <w:rFonts w:cstheme="minorHAnsi"/>
                <w:b/>
              </w:rPr>
              <w:t>: Status Updates</w:t>
            </w:r>
            <w:r w:rsidR="00307654" w:rsidRPr="00F80216">
              <w:rPr>
                <w:rFonts w:cstheme="minorHAnsi"/>
                <w:b/>
              </w:rPr>
              <w:t xml:space="preserve"> </w:t>
            </w:r>
          </w:p>
          <w:p w:rsidR="00317EB4" w:rsidRDefault="00317EB4" w:rsidP="00317EB4">
            <w:pPr>
              <w:pStyle w:val="ListParagraph"/>
              <w:ind w:left="360"/>
              <w:rPr>
                <w:rFonts w:cstheme="minorHAnsi"/>
                <w:b/>
              </w:rPr>
            </w:pPr>
          </w:p>
          <w:p w:rsidR="0061044D" w:rsidRPr="006C2122" w:rsidRDefault="003E67C2" w:rsidP="006C2122">
            <w:pPr>
              <w:rPr>
                <w:rFonts w:cstheme="minorHAnsi"/>
                <w:b/>
              </w:rPr>
            </w:pPr>
            <w:r>
              <w:rPr>
                <w:rFonts w:cstheme="minorHAnsi"/>
                <w:b/>
              </w:rPr>
              <w:t xml:space="preserve"> </w:t>
            </w:r>
          </w:p>
          <w:p w:rsidR="000A6C66" w:rsidRPr="00366684" w:rsidRDefault="000A6C66" w:rsidP="00366684">
            <w:pPr>
              <w:rPr>
                <w:rFonts w:cstheme="minorHAnsi"/>
                <w:b/>
              </w:rPr>
            </w:pPr>
          </w:p>
        </w:tc>
        <w:tc>
          <w:tcPr>
            <w:tcW w:w="1620" w:type="dxa"/>
          </w:tcPr>
          <w:p w:rsidR="00F80216" w:rsidRDefault="00E44E62" w:rsidP="00CA513B">
            <w:pPr>
              <w:rPr>
                <w:b/>
              </w:rPr>
            </w:pPr>
            <w:r>
              <w:rPr>
                <w:b/>
              </w:rPr>
              <w:t>Gloria  Aponte Clark</w:t>
            </w:r>
            <w:r w:rsidR="005E3F97">
              <w:rPr>
                <w:b/>
              </w:rPr>
              <w:t xml:space="preserve"> </w:t>
            </w:r>
          </w:p>
          <w:p w:rsidR="00E44E62" w:rsidRPr="00382C14" w:rsidRDefault="00E44E62" w:rsidP="00CA513B">
            <w:pPr>
              <w:rPr>
                <w:b/>
              </w:rPr>
            </w:pPr>
            <w:r>
              <w:rPr>
                <w:b/>
              </w:rPr>
              <w:t>10:40 (15 min)</w:t>
            </w:r>
          </w:p>
          <w:p w:rsidR="000C5E04" w:rsidRPr="00382C14" w:rsidRDefault="000C5E04" w:rsidP="00CA513B">
            <w:pPr>
              <w:rPr>
                <w:b/>
              </w:rPr>
            </w:pPr>
          </w:p>
        </w:tc>
        <w:tc>
          <w:tcPr>
            <w:tcW w:w="4050" w:type="dxa"/>
          </w:tcPr>
          <w:p w:rsidR="00544DB2" w:rsidRDefault="00490E6F" w:rsidP="006F2FDF">
            <w:pPr>
              <w:rPr>
                <w:rFonts w:cstheme="minorHAnsi"/>
              </w:rPr>
            </w:pPr>
            <w:r>
              <w:rPr>
                <w:rFonts w:cstheme="minorHAnsi"/>
              </w:rPr>
              <w:t xml:space="preserve">Gloria gave an update on the Disability Risk.  </w:t>
            </w:r>
            <w:r w:rsidR="00FF69DE">
              <w:rPr>
                <w:rFonts w:cstheme="minorHAnsi"/>
              </w:rPr>
              <w:t>She stated that there was no</w:t>
            </w:r>
            <w:r>
              <w:rPr>
                <w:rFonts w:cstheme="minorHAnsi"/>
              </w:rPr>
              <w:t xml:space="preserve"> clear con</w:t>
            </w:r>
            <w:r w:rsidR="00FF69DE">
              <w:rPr>
                <w:rFonts w:cstheme="minorHAnsi"/>
              </w:rPr>
              <w:t>nection to the SIM Objectives but that t</w:t>
            </w:r>
            <w:r>
              <w:rPr>
                <w:rFonts w:cstheme="minorHAnsi"/>
              </w:rPr>
              <w:t xml:space="preserve">he closest was with Objective 4. </w:t>
            </w:r>
            <w:r w:rsidR="00FF69DE">
              <w:rPr>
                <w:rFonts w:cstheme="minorHAnsi"/>
              </w:rPr>
              <w:t xml:space="preserve"> We will bring the risk back to the August meeting for further discussion.</w:t>
            </w:r>
          </w:p>
          <w:p w:rsidR="00490E6F" w:rsidRDefault="00490E6F" w:rsidP="006F2FDF">
            <w:pPr>
              <w:rPr>
                <w:rFonts w:cstheme="minorHAnsi"/>
              </w:rPr>
            </w:pPr>
          </w:p>
          <w:p w:rsidR="005E3F97" w:rsidRPr="005E3F97" w:rsidRDefault="005E3F97" w:rsidP="006F2FDF">
            <w:pPr>
              <w:rPr>
                <w:rFonts w:cstheme="minorHAnsi"/>
                <w:u w:val="single"/>
              </w:rPr>
            </w:pPr>
            <w:r w:rsidRPr="005E3F97">
              <w:rPr>
                <w:rFonts w:cstheme="minorHAnsi"/>
                <w:u w:val="single"/>
              </w:rPr>
              <w:t xml:space="preserve">Update from </w:t>
            </w:r>
            <w:r w:rsidR="00490E6F" w:rsidRPr="005E3F97">
              <w:rPr>
                <w:rFonts w:cstheme="minorHAnsi"/>
                <w:u w:val="single"/>
              </w:rPr>
              <w:t xml:space="preserve">Helena Peterson </w:t>
            </w:r>
            <w:r w:rsidRPr="005E3F97">
              <w:rPr>
                <w:rFonts w:cstheme="minorHAnsi"/>
                <w:u w:val="single"/>
              </w:rPr>
              <w:t>on Care Coordination Pilot:</w:t>
            </w:r>
          </w:p>
          <w:p w:rsidR="005E3F97" w:rsidRDefault="005E3F97" w:rsidP="006F2FDF">
            <w:pPr>
              <w:rPr>
                <w:rFonts w:cstheme="minorHAnsi"/>
              </w:rPr>
            </w:pPr>
            <w:r>
              <w:rPr>
                <w:rFonts w:cstheme="minorHAnsi"/>
              </w:rPr>
              <w:t>Helena said that Angela Richards, who is involved in the pilot, said that</w:t>
            </w:r>
            <w:r w:rsidR="00490E6F">
              <w:rPr>
                <w:rFonts w:cstheme="minorHAnsi"/>
              </w:rPr>
              <w:t xml:space="preserve"> there has been some</w:t>
            </w:r>
            <w:r>
              <w:rPr>
                <w:rFonts w:cstheme="minorHAnsi"/>
              </w:rPr>
              <w:t xml:space="preserve"> usable learning from the pilot so far. </w:t>
            </w:r>
            <w:r w:rsidR="00490E6F">
              <w:rPr>
                <w:rFonts w:cstheme="minorHAnsi"/>
              </w:rPr>
              <w:t xml:space="preserve">  Although small, it definitely has implications for scalability.  </w:t>
            </w:r>
          </w:p>
          <w:p w:rsidR="005E3F97" w:rsidRPr="005E3F97" w:rsidRDefault="00490E6F" w:rsidP="005E3F97">
            <w:pPr>
              <w:pStyle w:val="ListParagraph"/>
              <w:numPr>
                <w:ilvl w:val="0"/>
                <w:numId w:val="19"/>
              </w:numPr>
              <w:rPr>
                <w:rFonts w:cstheme="minorHAnsi"/>
              </w:rPr>
            </w:pPr>
            <w:r w:rsidRPr="005E3F97">
              <w:rPr>
                <w:rFonts w:cstheme="minorHAnsi"/>
              </w:rPr>
              <w:t xml:space="preserve">Importance of getting to patients while in the hospital.  </w:t>
            </w:r>
          </w:p>
          <w:p w:rsidR="005E3F97" w:rsidRDefault="00490E6F" w:rsidP="005E3F97">
            <w:pPr>
              <w:pStyle w:val="ListParagraph"/>
              <w:numPr>
                <w:ilvl w:val="0"/>
                <w:numId w:val="19"/>
              </w:numPr>
              <w:rPr>
                <w:rFonts w:cstheme="minorHAnsi"/>
              </w:rPr>
            </w:pPr>
            <w:r w:rsidRPr="005E3F97">
              <w:rPr>
                <w:rFonts w:cstheme="minorHAnsi"/>
              </w:rPr>
              <w:t xml:space="preserve">Lower refusal rate of the Community Care Team (CCT) since the pilot began.  </w:t>
            </w:r>
          </w:p>
          <w:p w:rsidR="00490E6F" w:rsidRPr="005E3F97" w:rsidRDefault="00490E6F" w:rsidP="005E3F97">
            <w:pPr>
              <w:pStyle w:val="ListParagraph"/>
              <w:numPr>
                <w:ilvl w:val="0"/>
                <w:numId w:val="19"/>
              </w:numPr>
              <w:rPr>
                <w:rFonts w:cstheme="minorHAnsi"/>
              </w:rPr>
            </w:pPr>
            <w:r w:rsidRPr="005E3F97">
              <w:rPr>
                <w:rFonts w:cstheme="minorHAnsi"/>
              </w:rPr>
              <w:t>There needs to be more of a cementing of the hospital and the CCT.</w:t>
            </w:r>
          </w:p>
          <w:p w:rsidR="00510D28" w:rsidRDefault="00510D28" w:rsidP="006F2FDF">
            <w:pPr>
              <w:rPr>
                <w:rFonts w:cstheme="minorHAnsi"/>
              </w:rPr>
            </w:pPr>
          </w:p>
          <w:p w:rsidR="005E3F97" w:rsidRDefault="005E3F97" w:rsidP="006F2FDF">
            <w:pPr>
              <w:rPr>
                <w:rFonts w:cstheme="minorHAnsi"/>
                <w:u w:val="single"/>
              </w:rPr>
            </w:pPr>
            <w:r>
              <w:rPr>
                <w:rFonts w:cstheme="minorHAnsi"/>
                <w:u w:val="single"/>
              </w:rPr>
              <w:t>BHHO update from Anne Connors</w:t>
            </w:r>
          </w:p>
          <w:p w:rsidR="00544DB2" w:rsidRPr="00382C14" w:rsidRDefault="00510D28" w:rsidP="006F2FDF">
            <w:pPr>
              <w:rPr>
                <w:rFonts w:cstheme="minorHAnsi"/>
              </w:rPr>
            </w:pPr>
            <w:r>
              <w:rPr>
                <w:rFonts w:cstheme="minorHAnsi"/>
              </w:rPr>
              <w:t>Shared Decision Making is one of the focus topics of the upcoming LS on June 25</w:t>
            </w:r>
            <w:r w:rsidRPr="00510D28">
              <w:rPr>
                <w:rFonts w:cstheme="minorHAnsi"/>
                <w:vertAlign w:val="superscript"/>
              </w:rPr>
              <w:t>th</w:t>
            </w:r>
            <w:r>
              <w:rPr>
                <w:rFonts w:cstheme="minorHAnsi"/>
              </w:rPr>
              <w:t>.  There has been some good consumer response to the process.</w:t>
            </w:r>
          </w:p>
        </w:tc>
        <w:tc>
          <w:tcPr>
            <w:tcW w:w="2790" w:type="dxa"/>
          </w:tcPr>
          <w:p w:rsidR="009A674E" w:rsidRPr="00382C14" w:rsidRDefault="00FF69DE" w:rsidP="00A3329A">
            <w:pPr>
              <w:contextualSpacing/>
              <w:rPr>
                <w:rFonts w:cstheme="minorHAnsi"/>
                <w:b/>
              </w:rPr>
            </w:pPr>
            <w:r>
              <w:rPr>
                <w:b/>
              </w:rPr>
              <w:t>Disabilities Risk</w:t>
            </w:r>
            <w:r w:rsidR="005E3F97">
              <w:rPr>
                <w:b/>
              </w:rPr>
              <w:t xml:space="preserve"> continued to August DSR subcommittee meeting</w:t>
            </w:r>
          </w:p>
          <w:p w:rsidR="000A6C66" w:rsidRPr="00382C14" w:rsidRDefault="000A6C66" w:rsidP="0061044D">
            <w:pPr>
              <w:rPr>
                <w:rFonts w:cstheme="minorHAnsi"/>
                <w:b/>
              </w:rPr>
            </w:pPr>
          </w:p>
        </w:tc>
      </w:tr>
      <w:tr w:rsidR="000A6C66" w:rsidRPr="00382C14" w:rsidTr="001D798E">
        <w:tc>
          <w:tcPr>
            <w:tcW w:w="3708" w:type="dxa"/>
          </w:tcPr>
          <w:p w:rsidR="000A6C66" w:rsidRDefault="00E44E62" w:rsidP="00752238">
            <w:pPr>
              <w:pStyle w:val="ListParagraph"/>
              <w:numPr>
                <w:ilvl w:val="0"/>
                <w:numId w:val="1"/>
              </w:numPr>
              <w:rPr>
                <w:rFonts w:asciiTheme="minorHAnsi" w:hAnsiTheme="minorHAnsi"/>
                <w:b/>
              </w:rPr>
            </w:pPr>
            <w:r>
              <w:rPr>
                <w:rFonts w:asciiTheme="minorHAnsi" w:hAnsiTheme="minorHAnsi"/>
                <w:b/>
              </w:rPr>
              <w:lastRenderedPageBreak/>
              <w:t>Patient Provider Partnership (P3)</w:t>
            </w:r>
          </w:p>
          <w:p w:rsidR="003E67C2" w:rsidRDefault="003E67C2" w:rsidP="003E67C2">
            <w:pPr>
              <w:pStyle w:val="ListParagraph"/>
              <w:ind w:left="360"/>
              <w:rPr>
                <w:rFonts w:asciiTheme="minorHAnsi" w:hAnsiTheme="minorHAnsi"/>
                <w:b/>
              </w:rPr>
            </w:pPr>
          </w:p>
          <w:p w:rsidR="00366684" w:rsidRPr="003E67C2" w:rsidRDefault="00317EB4" w:rsidP="003E67C2">
            <w:pPr>
              <w:rPr>
                <w:b/>
              </w:rPr>
            </w:pPr>
            <w:r w:rsidRPr="003E67C2">
              <w:rPr>
                <w:b/>
              </w:rPr>
              <w:t>Expected Action</w:t>
            </w:r>
            <w:r w:rsidR="00E44E62">
              <w:rPr>
                <w:b/>
              </w:rPr>
              <w:t>: Pilot Wrap Up</w:t>
            </w:r>
          </w:p>
        </w:tc>
        <w:tc>
          <w:tcPr>
            <w:tcW w:w="1620" w:type="dxa"/>
          </w:tcPr>
          <w:p w:rsidR="003E67C2" w:rsidRDefault="005E3F97" w:rsidP="00CA513B">
            <w:pPr>
              <w:rPr>
                <w:b/>
              </w:rPr>
            </w:pPr>
            <w:r>
              <w:rPr>
                <w:b/>
              </w:rPr>
              <w:t>Kellie Slate Vitcavage</w:t>
            </w:r>
          </w:p>
          <w:p w:rsidR="00E44E62" w:rsidRPr="00382C14" w:rsidRDefault="00E44E62" w:rsidP="00CA513B">
            <w:pPr>
              <w:rPr>
                <w:b/>
              </w:rPr>
            </w:pPr>
            <w:r>
              <w:rPr>
                <w:b/>
              </w:rPr>
              <w:t>10:55 (45 min)</w:t>
            </w:r>
          </w:p>
          <w:p w:rsidR="000C5E04" w:rsidRPr="00382C14" w:rsidRDefault="000C5E04" w:rsidP="00CA513B">
            <w:pPr>
              <w:rPr>
                <w:b/>
              </w:rPr>
            </w:pPr>
          </w:p>
        </w:tc>
        <w:tc>
          <w:tcPr>
            <w:tcW w:w="4050" w:type="dxa"/>
          </w:tcPr>
          <w:p w:rsidR="00794936" w:rsidRDefault="00510D28" w:rsidP="009D0255">
            <w:pPr>
              <w:contextualSpacing/>
            </w:pPr>
            <w:r>
              <w:t>Kellie provided a final overview of the P3 Pilot and where do we go from here.</w:t>
            </w:r>
          </w:p>
          <w:p w:rsidR="00B03510" w:rsidRDefault="00B03510" w:rsidP="009D0255">
            <w:pPr>
              <w:contextualSpacing/>
            </w:pPr>
          </w:p>
          <w:p w:rsidR="00B03510" w:rsidRPr="00B03510" w:rsidRDefault="00B03510" w:rsidP="00B03510">
            <w:pPr>
              <w:numPr>
                <w:ilvl w:val="0"/>
                <w:numId w:val="21"/>
              </w:numPr>
              <w:contextualSpacing/>
            </w:pPr>
            <w:r w:rsidRPr="00B03510">
              <w:t xml:space="preserve">QC hosted 10 “Patient-Provider Partnership” (P3) Pilots: </w:t>
            </w:r>
          </w:p>
          <w:p w:rsidR="00B03510" w:rsidRPr="00B03510" w:rsidRDefault="00B03510" w:rsidP="00B03510">
            <w:pPr>
              <w:numPr>
                <w:ilvl w:val="1"/>
                <w:numId w:val="21"/>
              </w:numPr>
              <w:contextualSpacing/>
            </w:pPr>
            <w:r w:rsidRPr="00B03510">
              <w:t>4 Choosing Wisely®</w:t>
            </w:r>
          </w:p>
          <w:p w:rsidR="00B03510" w:rsidRPr="00B03510" w:rsidRDefault="00B03510" w:rsidP="00B03510">
            <w:pPr>
              <w:numPr>
                <w:ilvl w:val="1"/>
                <w:numId w:val="21"/>
              </w:numPr>
              <w:contextualSpacing/>
            </w:pPr>
            <w:r w:rsidRPr="00B03510">
              <w:t>3 Shared Decision Making: Low Back Pain</w:t>
            </w:r>
          </w:p>
          <w:p w:rsidR="00B03510" w:rsidRPr="00B03510" w:rsidRDefault="00B03510" w:rsidP="00B03510">
            <w:pPr>
              <w:numPr>
                <w:ilvl w:val="1"/>
                <w:numId w:val="21"/>
              </w:numPr>
              <w:contextualSpacing/>
            </w:pPr>
            <w:r w:rsidRPr="00B03510">
              <w:t>3 Shared Decision Making: Medication Decisions in Behavioral Health</w:t>
            </w:r>
          </w:p>
          <w:p w:rsidR="00B03510" w:rsidRPr="00B03510" w:rsidRDefault="00B03510" w:rsidP="00B03510">
            <w:pPr>
              <w:numPr>
                <w:ilvl w:val="0"/>
                <w:numId w:val="21"/>
              </w:numPr>
              <w:contextualSpacing/>
            </w:pPr>
            <w:r w:rsidRPr="00B03510">
              <w:t>Pilots include</w:t>
            </w:r>
          </w:p>
          <w:p w:rsidR="00B03510" w:rsidRPr="00B03510" w:rsidRDefault="00B03510" w:rsidP="00B03510">
            <w:pPr>
              <w:numPr>
                <w:ilvl w:val="1"/>
                <w:numId w:val="21"/>
              </w:numPr>
              <w:contextualSpacing/>
            </w:pPr>
            <w:r w:rsidRPr="00B03510">
              <w:t>TA, mini-grants for provider groups</w:t>
            </w:r>
          </w:p>
          <w:p w:rsidR="00B03510" w:rsidRPr="00B03510" w:rsidRDefault="00B03510" w:rsidP="00B03510">
            <w:pPr>
              <w:numPr>
                <w:ilvl w:val="1"/>
                <w:numId w:val="21"/>
              </w:numPr>
              <w:contextualSpacing/>
            </w:pPr>
            <w:r w:rsidRPr="00B03510">
              <w:t xml:space="preserve">Learning Community </w:t>
            </w:r>
          </w:p>
          <w:p w:rsidR="00B03510" w:rsidRDefault="00B03510" w:rsidP="00B03510">
            <w:pPr>
              <w:numPr>
                <w:ilvl w:val="1"/>
                <w:numId w:val="21"/>
              </w:numPr>
              <w:contextualSpacing/>
            </w:pPr>
            <w:r w:rsidRPr="00B03510">
              <w:t xml:space="preserve">Community convening events </w:t>
            </w:r>
          </w:p>
          <w:p w:rsidR="00B03510" w:rsidRPr="00B03510" w:rsidRDefault="00B03510" w:rsidP="00B03510">
            <w:pPr>
              <w:contextualSpacing/>
              <w:rPr>
                <w:b/>
              </w:rPr>
            </w:pPr>
            <w:r>
              <w:t xml:space="preserve">Kellie also reviewed sustainability </w:t>
            </w:r>
            <w:r w:rsidRPr="00B03510">
              <w:t xml:space="preserve">Strategies </w:t>
            </w:r>
            <w:r w:rsidRPr="00B03510">
              <w:rPr>
                <w:b/>
              </w:rPr>
              <w:t>(See Handout of Success Stories)</w:t>
            </w:r>
          </w:p>
          <w:p w:rsidR="00B03510" w:rsidRDefault="00B03510" w:rsidP="009D0255">
            <w:pPr>
              <w:contextualSpacing/>
            </w:pPr>
          </w:p>
          <w:p w:rsidR="00BD1454" w:rsidRDefault="00B03510" w:rsidP="009D0255">
            <w:pPr>
              <w:contextualSpacing/>
              <w:rPr>
                <w:b/>
              </w:rPr>
            </w:pPr>
            <w:r>
              <w:rPr>
                <w:b/>
              </w:rPr>
              <w:t>Some of the Lessons Learned:</w:t>
            </w:r>
          </w:p>
          <w:p w:rsidR="00B03510" w:rsidRPr="00B03510" w:rsidRDefault="00B03510" w:rsidP="00B03510">
            <w:pPr>
              <w:numPr>
                <w:ilvl w:val="0"/>
                <w:numId w:val="22"/>
              </w:numPr>
              <w:contextualSpacing/>
            </w:pPr>
            <w:r w:rsidRPr="00B03510">
              <w:t>Engaging patients in decision making did NOT extend office visit duration</w:t>
            </w:r>
          </w:p>
          <w:p w:rsidR="00B03510" w:rsidRPr="00B03510" w:rsidRDefault="00B03510" w:rsidP="00B03510">
            <w:pPr>
              <w:numPr>
                <w:ilvl w:val="0"/>
                <w:numId w:val="22"/>
              </w:numPr>
              <w:contextualSpacing/>
            </w:pPr>
            <w:r w:rsidRPr="00B03510">
              <w:t>Properly executed SDM can save time by reducing call backs and patient follow-up questions</w:t>
            </w:r>
          </w:p>
          <w:p w:rsidR="00B03510" w:rsidRPr="00B03510" w:rsidRDefault="00B03510" w:rsidP="00B03510">
            <w:pPr>
              <w:numPr>
                <w:ilvl w:val="0"/>
                <w:numId w:val="22"/>
              </w:numPr>
              <w:contextualSpacing/>
            </w:pPr>
            <w:r w:rsidRPr="00B03510">
              <w:t>When a patient is uninsured, extremely important to advocate that they can call different facilities and ask for the charged price of a test</w:t>
            </w:r>
          </w:p>
          <w:p w:rsidR="00B03510" w:rsidRPr="00B03510" w:rsidRDefault="00B03510" w:rsidP="00B03510">
            <w:pPr>
              <w:numPr>
                <w:ilvl w:val="0"/>
                <w:numId w:val="22"/>
              </w:numPr>
              <w:contextualSpacing/>
            </w:pPr>
            <w:r w:rsidRPr="00B03510">
              <w:t xml:space="preserve">Provider driven model worked </w:t>
            </w:r>
            <w:r w:rsidRPr="00B03510">
              <w:lastRenderedPageBreak/>
              <w:t>best for our practice</w:t>
            </w:r>
          </w:p>
          <w:p w:rsidR="00B03510" w:rsidRDefault="00B03510" w:rsidP="00B03510">
            <w:pPr>
              <w:numPr>
                <w:ilvl w:val="0"/>
                <w:numId w:val="22"/>
              </w:numPr>
              <w:contextualSpacing/>
            </w:pPr>
            <w:r w:rsidRPr="00B03510">
              <w:t>Start with smaller pilot in the practice to gain best practices:  PDSA approach works best</w:t>
            </w:r>
          </w:p>
          <w:p w:rsidR="00B03510" w:rsidRDefault="00B03510" w:rsidP="00B03510">
            <w:pPr>
              <w:contextualSpacing/>
            </w:pPr>
          </w:p>
          <w:p w:rsidR="00B03510" w:rsidRDefault="00B03510" w:rsidP="00B03510">
            <w:pPr>
              <w:contextualSpacing/>
              <w:rPr>
                <w:b/>
              </w:rPr>
            </w:pPr>
            <w:r w:rsidRPr="00B03510">
              <w:rPr>
                <w:b/>
              </w:rPr>
              <w:t>Some of the Challenges that Impede Sustainability:</w:t>
            </w:r>
          </w:p>
          <w:p w:rsidR="00B03510" w:rsidRPr="00B03510" w:rsidRDefault="00B03510" w:rsidP="00B03510">
            <w:pPr>
              <w:numPr>
                <w:ilvl w:val="0"/>
                <w:numId w:val="23"/>
              </w:numPr>
              <w:contextualSpacing/>
            </w:pPr>
            <w:r w:rsidRPr="00B03510">
              <w:rPr>
                <w:bCs/>
              </w:rPr>
              <w:t>Payment system changes for SDM needs to occur for sustainability to move the patient provider partnership culture forward and support population health efforts</w:t>
            </w:r>
          </w:p>
          <w:p w:rsidR="00B03510" w:rsidRPr="00B03510" w:rsidRDefault="00B03510" w:rsidP="00B03510">
            <w:pPr>
              <w:numPr>
                <w:ilvl w:val="0"/>
                <w:numId w:val="23"/>
              </w:numPr>
              <w:contextualSpacing/>
            </w:pPr>
            <w:r w:rsidRPr="00B03510">
              <w:t>Difficulty finding time to spread learnings widely, especially in light of other competing efforts (PCMH, quality goals, cost/utilization analysis, etc.</w:t>
            </w:r>
          </w:p>
          <w:p w:rsidR="00B03510" w:rsidRPr="00B03510" w:rsidRDefault="00B03510" w:rsidP="00B03510">
            <w:pPr>
              <w:numPr>
                <w:ilvl w:val="0"/>
                <w:numId w:val="23"/>
              </w:numPr>
              <w:contextualSpacing/>
            </w:pPr>
            <w:r w:rsidRPr="00B03510">
              <w:t xml:space="preserve">Lack of time by provider – which again circles back to the payment issue and the opportunity to engage the full practice team  </w:t>
            </w:r>
          </w:p>
          <w:p w:rsidR="00B03510" w:rsidRDefault="00B03510" w:rsidP="00B03510">
            <w:pPr>
              <w:numPr>
                <w:ilvl w:val="0"/>
                <w:numId w:val="23"/>
              </w:numPr>
              <w:contextualSpacing/>
            </w:pPr>
            <w:r w:rsidRPr="00B03510">
              <w:t xml:space="preserve">Information system shortcomings </w:t>
            </w:r>
          </w:p>
          <w:p w:rsidR="00B03510" w:rsidRPr="00B03510" w:rsidRDefault="00B03510" w:rsidP="00B03510">
            <w:pPr>
              <w:contextualSpacing/>
              <w:rPr>
                <w:u w:val="single"/>
              </w:rPr>
            </w:pPr>
            <w:r w:rsidRPr="00B03510">
              <w:rPr>
                <w:u w:val="single"/>
              </w:rPr>
              <w:t xml:space="preserve">(See Slides for complete Presentation) </w:t>
            </w:r>
          </w:p>
          <w:p w:rsidR="00B03510" w:rsidRPr="00B03510" w:rsidRDefault="00B03510" w:rsidP="00B03510">
            <w:pPr>
              <w:contextualSpacing/>
            </w:pPr>
          </w:p>
          <w:p w:rsidR="003053AE" w:rsidRDefault="0035302C" w:rsidP="003053AE">
            <w:pPr>
              <w:contextualSpacing/>
            </w:pPr>
            <w:r>
              <w:t xml:space="preserve">The group discussed the </w:t>
            </w:r>
            <w:r w:rsidR="005C0462">
              <w:t xml:space="preserve">importance of driving for </w:t>
            </w:r>
            <w:r w:rsidR="003053AE">
              <w:t>multi payer meaning</w:t>
            </w:r>
            <w:r w:rsidR="005C0462">
              <w:t>ful primary care payment change --</w:t>
            </w:r>
            <w:r w:rsidR="003053AE">
              <w:t xml:space="preserve"> There is an opportunity from CMS to propose to bring in Medicare as a payment model.  </w:t>
            </w:r>
            <w:r w:rsidR="005C0462">
              <w:t xml:space="preserve">The group agreed to dedicate time to engage in these conversations with the Payment Reform Subcommittee, SIM Steering Committee, and State Leadership to stress the importance of this strategy.  Provider </w:t>
            </w:r>
            <w:r w:rsidR="005C0462">
              <w:lastRenderedPageBreak/>
              <w:t xml:space="preserve">members committed to meet as required in order </w:t>
            </w:r>
            <w:proofErr w:type="gramStart"/>
            <w:r w:rsidR="005C0462">
              <w:t>to convey</w:t>
            </w:r>
            <w:proofErr w:type="gramEnd"/>
            <w:r w:rsidR="005C0462">
              <w:t xml:space="preserve"> the importance of this effort.</w:t>
            </w:r>
            <w:r w:rsidR="003053AE">
              <w:t xml:space="preserve">  </w:t>
            </w:r>
          </w:p>
          <w:p w:rsidR="00DF25EA" w:rsidRDefault="00DF25EA" w:rsidP="003053AE">
            <w:pPr>
              <w:contextualSpacing/>
            </w:pPr>
          </w:p>
          <w:p w:rsidR="00BE2B92" w:rsidRDefault="00BE2B92" w:rsidP="003053AE">
            <w:pPr>
              <w:contextualSpacing/>
            </w:pPr>
            <w:r>
              <w:t>Risk:  No more SIM funding for consumer engagement</w:t>
            </w:r>
          </w:p>
          <w:p w:rsidR="00205ACD" w:rsidRPr="00382C14" w:rsidRDefault="00C676C1" w:rsidP="00DF25EA">
            <w:pPr>
              <w:contextualSpacing/>
            </w:pPr>
            <w:r>
              <w:t>.</w:t>
            </w:r>
            <w:r>
              <w:tab/>
            </w:r>
          </w:p>
        </w:tc>
        <w:tc>
          <w:tcPr>
            <w:tcW w:w="2790" w:type="dxa"/>
          </w:tcPr>
          <w:p w:rsidR="000A6C66" w:rsidRDefault="007B7D82" w:rsidP="007B7D82">
            <w:pPr>
              <w:rPr>
                <w:b/>
              </w:rPr>
            </w:pPr>
            <w:r>
              <w:rPr>
                <w:b/>
              </w:rPr>
              <w:lastRenderedPageBreak/>
              <w:t xml:space="preserve">Action: Randy Chenard to take the energy from the DSR on payment reform to the SIM </w:t>
            </w:r>
            <w:r w:rsidR="005E3F97">
              <w:rPr>
                <w:b/>
              </w:rPr>
              <w:t xml:space="preserve">Steering </w:t>
            </w:r>
            <w:r>
              <w:rPr>
                <w:b/>
              </w:rPr>
              <w:t>C</w:t>
            </w:r>
            <w:r w:rsidR="005E3F97">
              <w:rPr>
                <w:b/>
              </w:rPr>
              <w:t>ommittee</w:t>
            </w:r>
            <w:r>
              <w:rPr>
                <w:b/>
              </w:rPr>
              <w:t xml:space="preserve"> and other SIM partners.  Interest in continuing to pursue payment reform and how the opportunities can be aligned and integrated and advocate for a discussion with leadership.</w:t>
            </w:r>
          </w:p>
          <w:p w:rsidR="00B03510" w:rsidRDefault="00B03510" w:rsidP="007B7D82">
            <w:pPr>
              <w:rPr>
                <w:b/>
              </w:rPr>
            </w:pPr>
          </w:p>
          <w:p w:rsidR="003C1E9C" w:rsidRPr="00DA7BC0" w:rsidRDefault="003C1E9C" w:rsidP="003C1E9C">
            <w:pPr>
              <w:rPr>
                <w:b/>
              </w:rPr>
            </w:pPr>
            <w:r>
              <w:rPr>
                <w:b/>
              </w:rPr>
              <w:t xml:space="preserve">Follow up: </w:t>
            </w:r>
            <w:r w:rsidRPr="00DA7BC0">
              <w:rPr>
                <w:b/>
              </w:rPr>
              <w:t xml:space="preserve"> It was agreed at the 6-10-15 Partners meeting that </w:t>
            </w:r>
            <w:r>
              <w:rPr>
                <w:b/>
              </w:rPr>
              <w:t>Frank Johnson</w:t>
            </w:r>
            <w:r w:rsidRPr="00DA7BC0">
              <w:rPr>
                <w:b/>
              </w:rPr>
              <w:t> will determine to what extent and how to involve DSR members</w:t>
            </w:r>
            <w:r>
              <w:rPr>
                <w:b/>
              </w:rPr>
              <w:t xml:space="preserve"> in the discussions of payment reform with the Payment Reform Subcommittee</w:t>
            </w:r>
            <w:r w:rsidRPr="00DA7BC0">
              <w:rPr>
                <w:b/>
              </w:rPr>
              <w:t>.</w:t>
            </w:r>
            <w:r>
              <w:rPr>
                <w:b/>
              </w:rPr>
              <w:t xml:space="preserve">  The Subcommittee contact list was shared to facilitate engagement directly.  Subcommittee members are also welcome to attend the Payment Reform Subcommittee and Steering Committee meetings as interested parties.  </w:t>
            </w:r>
            <w:r w:rsidRPr="00DA7BC0">
              <w:rPr>
                <w:b/>
              </w:rPr>
              <w:t xml:space="preserve">  </w:t>
            </w:r>
            <w:r>
              <w:rPr>
                <w:b/>
              </w:rPr>
              <w:t xml:space="preserve">Lisa T and Lise will await direction from Randy and Frank, and will forward information to </w:t>
            </w:r>
            <w:r>
              <w:rPr>
                <w:b/>
              </w:rPr>
              <w:lastRenderedPageBreak/>
              <w:t>the DSR membership</w:t>
            </w:r>
          </w:p>
          <w:p w:rsidR="00B03510" w:rsidRDefault="00B03510" w:rsidP="007B7D82">
            <w:pPr>
              <w:rPr>
                <w:b/>
              </w:rPr>
            </w:pPr>
          </w:p>
          <w:p w:rsidR="00B03510" w:rsidRDefault="00B03510" w:rsidP="007B7D82">
            <w:pPr>
              <w:rPr>
                <w:b/>
              </w:rPr>
            </w:pPr>
          </w:p>
          <w:p w:rsidR="00B03510" w:rsidRDefault="00B03510" w:rsidP="007B7D82">
            <w:pPr>
              <w:rPr>
                <w:b/>
              </w:rPr>
            </w:pPr>
            <w:r>
              <w:rPr>
                <w:b/>
              </w:rPr>
              <w:t xml:space="preserve">Kellie will send Lise the </w:t>
            </w:r>
            <w:r w:rsidR="005C0462">
              <w:rPr>
                <w:b/>
              </w:rPr>
              <w:t xml:space="preserve">Collaborate </w:t>
            </w:r>
            <w:r>
              <w:rPr>
                <w:b/>
              </w:rPr>
              <w:t>tool to dis</w:t>
            </w:r>
            <w:r w:rsidR="00C676C1">
              <w:rPr>
                <w:b/>
              </w:rPr>
              <w:t>tribute to DSR subcommittee mem</w:t>
            </w:r>
            <w:r>
              <w:rPr>
                <w:b/>
              </w:rPr>
              <w:t>bers</w:t>
            </w:r>
          </w:p>
          <w:p w:rsidR="00DA7BC0" w:rsidRDefault="00DA7BC0" w:rsidP="00DA7BC0">
            <w:pPr>
              <w:rPr>
                <w:b/>
              </w:rPr>
            </w:pPr>
          </w:p>
          <w:p w:rsidR="00DA7BC0" w:rsidRDefault="00DA7BC0" w:rsidP="00DA7BC0"/>
          <w:p w:rsidR="0035302C" w:rsidRPr="0035302C" w:rsidRDefault="0035302C" w:rsidP="0035302C">
            <w:pPr>
              <w:contextualSpacing/>
              <w:rPr>
                <w:b/>
              </w:rPr>
            </w:pPr>
            <w:r w:rsidRPr="0035302C">
              <w:rPr>
                <w:b/>
              </w:rPr>
              <w:t xml:space="preserve">Lisa T and Lise will check in with Consumer DSR members to determine their intent to continue to participate.  </w:t>
            </w:r>
          </w:p>
          <w:p w:rsidR="0035302C" w:rsidRPr="0035302C" w:rsidRDefault="0035302C" w:rsidP="0035302C">
            <w:pPr>
              <w:contextualSpacing/>
              <w:rPr>
                <w:b/>
              </w:rPr>
            </w:pPr>
          </w:p>
          <w:p w:rsidR="005C0462" w:rsidRPr="0035302C" w:rsidRDefault="0035302C" w:rsidP="0035302C">
            <w:pPr>
              <w:rPr>
                <w:b/>
              </w:rPr>
            </w:pPr>
            <w:r w:rsidRPr="0035302C">
              <w:rPr>
                <w:b/>
              </w:rPr>
              <w:t xml:space="preserve">DSR subcommittee members can send to Kellie their comments </w:t>
            </w:r>
            <w:r>
              <w:rPr>
                <w:b/>
              </w:rPr>
              <w:t xml:space="preserve">on the new QC Choosing Wisely opportunity </w:t>
            </w:r>
          </w:p>
          <w:p w:rsidR="00DA7BC0" w:rsidRDefault="00DA7BC0" w:rsidP="007B7D82">
            <w:pPr>
              <w:rPr>
                <w:b/>
              </w:rPr>
            </w:pPr>
          </w:p>
          <w:p w:rsidR="007B7D82" w:rsidRDefault="007B7D82" w:rsidP="007B7D82">
            <w:pPr>
              <w:rPr>
                <w:b/>
              </w:rPr>
            </w:pPr>
          </w:p>
          <w:p w:rsidR="007B7D82" w:rsidRPr="00382C14" w:rsidRDefault="007B7D82" w:rsidP="007B7D82">
            <w:pPr>
              <w:rPr>
                <w:b/>
              </w:rPr>
            </w:pPr>
          </w:p>
        </w:tc>
      </w:tr>
      <w:tr w:rsidR="000A6C66" w:rsidRPr="00382C14" w:rsidTr="001D798E">
        <w:tc>
          <w:tcPr>
            <w:tcW w:w="3708" w:type="dxa"/>
          </w:tcPr>
          <w:p w:rsidR="000A6C66" w:rsidRPr="00382C14" w:rsidRDefault="003E67C2" w:rsidP="00752238">
            <w:pPr>
              <w:pStyle w:val="ListParagraph"/>
              <w:numPr>
                <w:ilvl w:val="0"/>
                <w:numId w:val="1"/>
              </w:numPr>
              <w:rPr>
                <w:rFonts w:asciiTheme="minorHAnsi" w:hAnsiTheme="minorHAnsi"/>
                <w:b/>
              </w:rPr>
            </w:pPr>
            <w:r>
              <w:rPr>
                <w:rFonts w:asciiTheme="minorHAnsi" w:hAnsiTheme="minorHAnsi"/>
                <w:b/>
              </w:rPr>
              <w:lastRenderedPageBreak/>
              <w:t>Interested Parties Public Comment</w:t>
            </w:r>
          </w:p>
        </w:tc>
        <w:tc>
          <w:tcPr>
            <w:tcW w:w="1620" w:type="dxa"/>
          </w:tcPr>
          <w:p w:rsidR="000A6C66" w:rsidRPr="00382C14" w:rsidRDefault="000A6C66" w:rsidP="00CA513B">
            <w:pPr>
              <w:rPr>
                <w:b/>
              </w:rPr>
            </w:pPr>
            <w:r w:rsidRPr="00382C14">
              <w:rPr>
                <w:b/>
              </w:rPr>
              <w:t>All</w:t>
            </w:r>
            <w:r w:rsidR="00E44E62">
              <w:rPr>
                <w:b/>
              </w:rPr>
              <w:t xml:space="preserve"> 11:40 </w:t>
            </w:r>
            <w:r w:rsidR="003E67C2">
              <w:rPr>
                <w:b/>
              </w:rPr>
              <w:t>(10 min)</w:t>
            </w:r>
          </w:p>
          <w:p w:rsidR="000C5E04" w:rsidRPr="00382C14" w:rsidRDefault="00307654" w:rsidP="00CA513B">
            <w:pPr>
              <w:rPr>
                <w:b/>
              </w:rPr>
            </w:pPr>
            <w:r>
              <w:rPr>
                <w:b/>
              </w:rPr>
              <w:t xml:space="preserve"> </w:t>
            </w:r>
          </w:p>
        </w:tc>
        <w:tc>
          <w:tcPr>
            <w:tcW w:w="4050" w:type="dxa"/>
          </w:tcPr>
          <w:p w:rsidR="00544DB2" w:rsidRPr="00382C14" w:rsidRDefault="007A0842" w:rsidP="007A0842">
            <w:r>
              <w:rPr>
                <w:b/>
              </w:rPr>
              <w:t>No comments from public</w:t>
            </w:r>
          </w:p>
        </w:tc>
        <w:tc>
          <w:tcPr>
            <w:tcW w:w="2790" w:type="dxa"/>
          </w:tcPr>
          <w:p w:rsidR="000A6C66" w:rsidRPr="00382C14" w:rsidRDefault="000A6C66" w:rsidP="00CA513B">
            <w:pPr>
              <w:rPr>
                <w:b/>
              </w:rPr>
            </w:pPr>
          </w:p>
        </w:tc>
      </w:tr>
      <w:tr w:rsidR="003E67C2" w:rsidRPr="00382C14" w:rsidTr="001D798E">
        <w:tc>
          <w:tcPr>
            <w:tcW w:w="3708" w:type="dxa"/>
          </w:tcPr>
          <w:p w:rsidR="003E67C2" w:rsidRDefault="003E67C2" w:rsidP="00752238">
            <w:pPr>
              <w:pStyle w:val="ListParagraph"/>
              <w:numPr>
                <w:ilvl w:val="0"/>
                <w:numId w:val="1"/>
              </w:numPr>
              <w:rPr>
                <w:rFonts w:asciiTheme="minorHAnsi" w:hAnsiTheme="minorHAnsi"/>
                <w:b/>
              </w:rPr>
            </w:pPr>
            <w:r>
              <w:rPr>
                <w:rFonts w:asciiTheme="minorHAnsi" w:hAnsiTheme="minorHAnsi"/>
                <w:b/>
              </w:rPr>
              <w:t>Evaluation/Action Recap</w:t>
            </w:r>
          </w:p>
        </w:tc>
        <w:tc>
          <w:tcPr>
            <w:tcW w:w="1620" w:type="dxa"/>
          </w:tcPr>
          <w:p w:rsidR="003E67C2" w:rsidRPr="00382C14" w:rsidRDefault="00E44E62" w:rsidP="00CA513B">
            <w:pPr>
              <w:rPr>
                <w:b/>
              </w:rPr>
            </w:pPr>
            <w:r>
              <w:rPr>
                <w:b/>
              </w:rPr>
              <w:t>All 11:50 (10</w:t>
            </w:r>
            <w:r w:rsidR="003E67C2">
              <w:rPr>
                <w:b/>
              </w:rPr>
              <w:t xml:space="preserve"> min)</w:t>
            </w:r>
          </w:p>
        </w:tc>
        <w:tc>
          <w:tcPr>
            <w:tcW w:w="4050" w:type="dxa"/>
          </w:tcPr>
          <w:p w:rsidR="005E3F97" w:rsidRDefault="008673E9" w:rsidP="005E3F97">
            <w:pPr>
              <w:pStyle w:val="Default"/>
              <w:rPr>
                <w:sz w:val="22"/>
                <w:szCs w:val="22"/>
              </w:rPr>
            </w:pPr>
            <w:r w:rsidRPr="008673E9">
              <w:rPr>
                <w:b/>
                <w:sz w:val="22"/>
                <w:szCs w:val="22"/>
              </w:rPr>
              <w:t xml:space="preserve">There were 19 </w:t>
            </w:r>
            <w:r w:rsidR="005E3F97" w:rsidRPr="008673E9">
              <w:rPr>
                <w:b/>
                <w:sz w:val="22"/>
                <w:szCs w:val="22"/>
              </w:rPr>
              <w:t>participants in attendance.</w:t>
            </w:r>
            <w:r w:rsidR="005E3F97">
              <w:rPr>
                <w:sz w:val="22"/>
                <w:szCs w:val="22"/>
              </w:rPr>
              <w:t xml:space="preserve"> Evaluation results scored at </w:t>
            </w:r>
            <w:r>
              <w:rPr>
                <w:sz w:val="22"/>
                <w:szCs w:val="22"/>
              </w:rPr>
              <w:t>8 to 10 with the majority at 10</w:t>
            </w:r>
            <w:r w:rsidR="005E3F97">
              <w:rPr>
                <w:sz w:val="22"/>
                <w:szCs w:val="22"/>
              </w:rPr>
              <w:t xml:space="preserve">. </w:t>
            </w:r>
          </w:p>
          <w:p w:rsidR="003E67C2" w:rsidRDefault="005E3F97" w:rsidP="008673E9">
            <w:pPr>
              <w:pStyle w:val="Default"/>
              <w:rPr>
                <w:b/>
              </w:rPr>
            </w:pPr>
            <w:r>
              <w:rPr>
                <w:sz w:val="22"/>
                <w:szCs w:val="22"/>
              </w:rPr>
              <w:t>Subcommittee members thought that</w:t>
            </w:r>
            <w:r w:rsidR="008673E9">
              <w:rPr>
                <w:sz w:val="22"/>
                <w:szCs w:val="22"/>
              </w:rPr>
              <w:t xml:space="preserve"> due to the lively discussion on payment models, this was one of the better meetings that allowed for subcommittee input.  </w:t>
            </w:r>
          </w:p>
          <w:p w:rsidR="003E67C2" w:rsidRDefault="003E67C2" w:rsidP="00CA513B">
            <w:pPr>
              <w:rPr>
                <w:b/>
              </w:rPr>
            </w:pPr>
          </w:p>
        </w:tc>
        <w:tc>
          <w:tcPr>
            <w:tcW w:w="2790" w:type="dxa"/>
          </w:tcPr>
          <w:p w:rsidR="003E67C2" w:rsidRPr="00382C14" w:rsidRDefault="003E67C2" w:rsidP="00CA513B">
            <w:pPr>
              <w:rPr>
                <w:b/>
              </w:rPr>
            </w:pPr>
          </w:p>
        </w:tc>
      </w:tr>
      <w:tr w:rsidR="000A6C66" w:rsidRPr="00382C14" w:rsidTr="001D798E">
        <w:tc>
          <w:tcPr>
            <w:tcW w:w="3708" w:type="dxa"/>
          </w:tcPr>
          <w:p w:rsidR="00794936" w:rsidRDefault="00E44E62" w:rsidP="009D0255">
            <w:pPr>
              <w:rPr>
                <w:b/>
              </w:rPr>
            </w:pPr>
            <w:r>
              <w:rPr>
                <w:b/>
              </w:rPr>
              <w:t>NO July Meeting</w:t>
            </w:r>
          </w:p>
          <w:p w:rsidR="00E44E62" w:rsidRDefault="00E44E62" w:rsidP="009D0255">
            <w:pPr>
              <w:rPr>
                <w:b/>
              </w:rPr>
            </w:pPr>
          </w:p>
          <w:p w:rsidR="00CC6A19" w:rsidRPr="00382C14" w:rsidRDefault="00307654" w:rsidP="009D0255">
            <w:pPr>
              <w:rPr>
                <w:b/>
              </w:rPr>
            </w:pPr>
            <w:r>
              <w:rPr>
                <w:b/>
              </w:rPr>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Default="00F03098" w:rsidP="00CA513B">
            <w:pPr>
              <w:rPr>
                <w:b/>
              </w:rPr>
            </w:pPr>
            <w:r>
              <w:rPr>
                <w:b/>
              </w:rPr>
              <w:t xml:space="preserve"> </w:t>
            </w:r>
          </w:p>
          <w:p w:rsidR="003E67C2" w:rsidRDefault="003E67C2" w:rsidP="00CA513B">
            <w:pPr>
              <w:rPr>
                <w:b/>
              </w:rPr>
            </w:pPr>
          </w:p>
          <w:p w:rsidR="003E67C2" w:rsidRPr="00382C14" w:rsidRDefault="003E67C2" w:rsidP="00CA513B">
            <w:pPr>
              <w:rPr>
                <w:b/>
              </w:rPr>
            </w:pPr>
          </w:p>
        </w:tc>
        <w:tc>
          <w:tcPr>
            <w:tcW w:w="2790" w:type="dxa"/>
          </w:tcPr>
          <w:p w:rsidR="000A6C66" w:rsidRPr="00382C14" w:rsidRDefault="008F1B06" w:rsidP="00CA513B">
            <w:pPr>
              <w:rPr>
                <w:b/>
              </w:rPr>
            </w:pPr>
            <w:r>
              <w:rPr>
                <w:b/>
              </w:rPr>
              <w:t>Lisa T and Lise will notify the group on opportunities to engage in SIM target and measure, and in Payment Reform discussions when they are clear from the Evaluation Subcommittee, Payment Reform Subcommittee and Steering Committee</w:t>
            </w: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3E67C2"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E44E62">
        <w:rPr>
          <w:rFonts w:eastAsia="Times New Roman" w:cs="Times New Roman"/>
          <w:b/>
        </w:rPr>
        <w:t>August 5</w:t>
      </w:r>
      <w:r w:rsidR="003E67C2">
        <w:rPr>
          <w:rFonts w:eastAsia="Times New Roman" w:cs="Times New Roman"/>
          <w:b/>
        </w:rPr>
        <w:t xml:space="preserve">, 2015 </w:t>
      </w:r>
    </w:p>
    <w:p w:rsidR="00317EB4" w:rsidRDefault="00317EB4" w:rsidP="00752238">
      <w:pPr>
        <w:spacing w:after="0" w:line="240" w:lineRule="auto"/>
        <w:jc w:val="center"/>
        <w:rPr>
          <w:rFonts w:eastAsia="Times New Roman" w:cs="Times New Roman"/>
          <w:b/>
        </w:rPr>
      </w:pPr>
      <w:r>
        <w:rPr>
          <w:rFonts w:eastAsia="Times New Roman" w:cs="Times New Roman"/>
          <w:b/>
        </w:rPr>
        <w:t xml:space="preserve">10:00 </w:t>
      </w:r>
      <w:proofErr w:type="gramStart"/>
      <w:r>
        <w:rPr>
          <w:rFonts w:eastAsia="Times New Roman" w:cs="Times New Roman"/>
          <w:b/>
        </w:rPr>
        <w:t>am</w:t>
      </w:r>
      <w:proofErr w:type="gramEnd"/>
      <w:r>
        <w:rPr>
          <w:rFonts w:eastAsia="Times New Roman" w:cs="Times New Roman"/>
          <w:b/>
        </w:rPr>
        <w:t xml:space="preserve"> to </w:t>
      </w:r>
      <w:r w:rsidR="003E67C2">
        <w:rPr>
          <w:rFonts w:eastAsia="Times New Roman" w:cs="Times New Roman"/>
          <w:b/>
        </w:rPr>
        <w:t>Noon</w:t>
      </w:r>
    </w:p>
    <w:p w:rsidR="00C676C1" w:rsidRDefault="003E67C2" w:rsidP="00DF25EA">
      <w:pPr>
        <w:spacing w:after="0" w:line="240" w:lineRule="auto"/>
        <w:jc w:val="center"/>
        <w:rPr>
          <w:rFonts w:eastAsia="Times New Roman" w:cs="Times New Roman"/>
          <w:b/>
        </w:rPr>
      </w:pPr>
      <w:r>
        <w:rPr>
          <w:rFonts w:eastAsia="Times New Roman" w:cs="Times New Roman"/>
          <w:b/>
        </w:rPr>
        <w:t>221 State Street, Augusta, ME</w:t>
      </w:r>
    </w:p>
    <w:p w:rsidR="003E67C2" w:rsidRDefault="003E67C2" w:rsidP="00DC7D65">
      <w:pPr>
        <w:spacing w:after="0" w:line="240" w:lineRule="auto"/>
        <w:rPr>
          <w:rFonts w:eastAsia="Times New Roman" w:cs="Times New Roman"/>
          <w:b/>
        </w:rPr>
      </w:pPr>
    </w:p>
    <w:p w:rsidR="003E67C2" w:rsidRPr="00382C14" w:rsidRDefault="003E67C2"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Delivery System Reform 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DF25EA" w:rsidRPr="008E38A8" w:rsidTr="00B03510">
        <w:tc>
          <w:tcPr>
            <w:tcW w:w="1068" w:type="dxa"/>
          </w:tcPr>
          <w:p w:rsidR="00DF25EA" w:rsidRPr="00DF25EA" w:rsidRDefault="00DF25EA" w:rsidP="009D3CB4">
            <w:pPr>
              <w:rPr>
                <w:rFonts w:asciiTheme="minorHAnsi" w:hAnsiTheme="minorHAnsi"/>
                <w:sz w:val="22"/>
                <w:szCs w:val="22"/>
              </w:rPr>
            </w:pPr>
            <w:r w:rsidRPr="00DF25EA">
              <w:rPr>
                <w:rFonts w:asciiTheme="minorHAnsi" w:hAnsiTheme="minorHAnsi"/>
                <w:sz w:val="22"/>
                <w:szCs w:val="22"/>
              </w:rPr>
              <w:t>6/3/15</w:t>
            </w:r>
          </w:p>
        </w:tc>
        <w:tc>
          <w:tcPr>
            <w:tcW w:w="4844" w:type="dxa"/>
          </w:tcPr>
          <w:p w:rsidR="00DF25EA" w:rsidRPr="00DF25EA" w:rsidRDefault="00DF25EA" w:rsidP="00B03510">
            <w:pPr>
              <w:rPr>
                <w:rFonts w:asciiTheme="minorHAnsi" w:hAnsiTheme="minorHAnsi"/>
                <w:sz w:val="22"/>
                <w:szCs w:val="22"/>
              </w:rPr>
            </w:pPr>
            <w:r w:rsidRPr="00DF25EA">
              <w:rPr>
                <w:rFonts w:asciiTheme="minorHAnsi" w:hAnsiTheme="minorHAnsi"/>
                <w:sz w:val="22"/>
                <w:szCs w:val="22"/>
              </w:rPr>
              <w:t xml:space="preserve">Importance of healthcare provider engagement of and escalation of the need for real </w:t>
            </w:r>
            <w:proofErr w:type="spellStart"/>
            <w:r w:rsidRPr="00DF25EA">
              <w:rPr>
                <w:rFonts w:asciiTheme="minorHAnsi" w:hAnsiTheme="minorHAnsi"/>
                <w:sz w:val="22"/>
                <w:szCs w:val="22"/>
              </w:rPr>
              <w:t>multipayer</w:t>
            </w:r>
            <w:proofErr w:type="spellEnd"/>
            <w:r w:rsidRPr="00DF25EA">
              <w:rPr>
                <w:rFonts w:asciiTheme="minorHAnsi" w:hAnsiTheme="minorHAnsi"/>
                <w:sz w:val="22"/>
                <w:szCs w:val="22"/>
              </w:rPr>
              <w:t xml:space="preserve"> payment reform strategies</w:t>
            </w:r>
          </w:p>
        </w:tc>
        <w:tc>
          <w:tcPr>
            <w:tcW w:w="2942" w:type="dxa"/>
          </w:tcPr>
          <w:p w:rsidR="00DF25EA" w:rsidRPr="008E38A8" w:rsidRDefault="00DF25EA" w:rsidP="00B03510">
            <w:bookmarkStart w:id="0" w:name="_GoBack"/>
            <w:bookmarkEnd w:id="0"/>
          </w:p>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DF25EA" w:rsidRDefault="00DF25EA" w:rsidP="009D3CB4">
            <w:pPr>
              <w:rPr>
                <w:rFonts w:asciiTheme="minorHAnsi" w:hAnsiTheme="minorHAnsi"/>
                <w:sz w:val="22"/>
                <w:szCs w:val="22"/>
              </w:rPr>
            </w:pPr>
            <w:r w:rsidRPr="00DF25EA">
              <w:rPr>
                <w:rFonts w:asciiTheme="minorHAnsi" w:hAnsiTheme="minorHAnsi"/>
                <w:sz w:val="22"/>
                <w:szCs w:val="22"/>
              </w:rPr>
              <w:t>6/3/15</w:t>
            </w:r>
          </w:p>
        </w:tc>
        <w:tc>
          <w:tcPr>
            <w:tcW w:w="4844" w:type="dxa"/>
          </w:tcPr>
          <w:p w:rsidR="00DF25EA" w:rsidRPr="00DF25EA" w:rsidRDefault="00DF25EA" w:rsidP="00DF25EA">
            <w:pPr>
              <w:rPr>
                <w:rFonts w:asciiTheme="minorHAnsi" w:hAnsiTheme="minorHAnsi"/>
                <w:sz w:val="22"/>
                <w:szCs w:val="22"/>
              </w:rPr>
            </w:pPr>
            <w:r w:rsidRPr="00DF25EA">
              <w:rPr>
                <w:rFonts w:asciiTheme="minorHAnsi" w:hAnsiTheme="minorHAnsi"/>
                <w:sz w:val="22"/>
                <w:szCs w:val="22"/>
              </w:rPr>
              <w:t>Importance of healthcare provider engagement in SIM measure and target setting</w:t>
            </w:r>
          </w:p>
          <w:p w:rsidR="00DF25EA" w:rsidRPr="00DF25EA" w:rsidRDefault="00DF25EA" w:rsidP="009D3CB4">
            <w:pPr>
              <w:rPr>
                <w:rFonts w:asciiTheme="minorHAnsi" w:eastAsia="Calibri" w:hAnsiTheme="minorHAnsi"/>
                <w:sz w:val="22"/>
                <w:szCs w:val="22"/>
              </w:rPr>
            </w:pPr>
          </w:p>
        </w:tc>
        <w:tc>
          <w:tcPr>
            <w:tcW w:w="2942" w:type="dxa"/>
          </w:tcPr>
          <w:p w:rsidR="00DF25EA" w:rsidRPr="008E38A8" w:rsidRDefault="00DF25EA" w:rsidP="00B03510"/>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DF25EA" w:rsidRDefault="00DF25EA" w:rsidP="00B03510">
            <w:pPr>
              <w:rPr>
                <w:rFonts w:asciiTheme="minorHAnsi" w:hAnsiTheme="minorHAnsi"/>
                <w:sz w:val="22"/>
                <w:szCs w:val="22"/>
              </w:rPr>
            </w:pPr>
            <w:r w:rsidRPr="00DF25EA">
              <w:rPr>
                <w:rFonts w:asciiTheme="minorHAnsi" w:hAnsiTheme="minorHAnsi"/>
                <w:sz w:val="22"/>
                <w:szCs w:val="22"/>
              </w:rPr>
              <w:t>6/3/15</w:t>
            </w:r>
          </w:p>
        </w:tc>
        <w:tc>
          <w:tcPr>
            <w:tcW w:w="4844" w:type="dxa"/>
          </w:tcPr>
          <w:p w:rsidR="00DF25EA" w:rsidRPr="00DF25EA" w:rsidRDefault="00DF25EA" w:rsidP="00B03510">
            <w:pPr>
              <w:rPr>
                <w:rFonts w:asciiTheme="minorHAnsi" w:eastAsia="Calibri" w:hAnsiTheme="minorHAnsi"/>
                <w:sz w:val="22"/>
                <w:szCs w:val="22"/>
              </w:rPr>
            </w:pPr>
            <w:r w:rsidRPr="00DF25EA">
              <w:rPr>
                <w:rFonts w:asciiTheme="minorHAnsi" w:hAnsiTheme="minorHAnsi"/>
                <w:sz w:val="22"/>
                <w:szCs w:val="22"/>
              </w:rPr>
              <w:t xml:space="preserve">Lack of SIM ongoing funding for consumer engagement </w:t>
            </w:r>
          </w:p>
        </w:tc>
        <w:tc>
          <w:tcPr>
            <w:tcW w:w="2942" w:type="dxa"/>
          </w:tcPr>
          <w:p w:rsidR="00DF25EA" w:rsidRPr="008E38A8" w:rsidRDefault="00DF25EA" w:rsidP="00B03510"/>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8E38A8" w:rsidRDefault="00DF25EA" w:rsidP="00B03510">
            <w:pPr>
              <w:rPr>
                <w:rFonts w:asciiTheme="minorHAnsi" w:hAnsiTheme="minorHAnsi"/>
                <w:sz w:val="22"/>
                <w:szCs w:val="22"/>
              </w:rPr>
            </w:pPr>
            <w:r>
              <w:rPr>
                <w:rFonts w:asciiTheme="minorHAnsi" w:hAnsiTheme="minorHAnsi"/>
                <w:sz w:val="22"/>
                <w:szCs w:val="22"/>
              </w:rPr>
              <w:t>11/5/14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9F1633" w:rsidRDefault="00DF25EA" w:rsidP="00B03510">
            <w:pPr>
              <w:rPr>
                <w:rFonts w:asciiTheme="minorHAnsi" w:hAnsiTheme="minorHAnsi"/>
                <w:sz w:val="22"/>
                <w:szCs w:val="22"/>
              </w:rPr>
            </w:pPr>
            <w:r>
              <w:rPr>
                <w:rFonts w:asciiTheme="minorHAnsi" w:hAnsiTheme="minorHAnsi"/>
                <w:sz w:val="22"/>
                <w:szCs w:val="22"/>
              </w:rPr>
              <w:t>S</w:t>
            </w:r>
            <w:r w:rsidRPr="009F1633">
              <w:rPr>
                <w:rFonts w:asciiTheme="minorHAnsi" w:hAnsiTheme="minorHAnsi"/>
                <w:sz w:val="22"/>
                <w:szCs w:val="22"/>
              </w:rPr>
              <w:t xml:space="preserve">ystemic risk of the health care system of not offering adequate and equal care to people with disabilities.  </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r>
              <w:rPr>
                <w:rFonts w:asciiTheme="minorHAnsi" w:hAnsiTheme="minorHAnsi"/>
                <w:b/>
                <w:sz w:val="22"/>
                <w:szCs w:val="22"/>
              </w:rPr>
              <w:t>Dennis Fitzgibbons</w:t>
            </w:r>
          </w:p>
        </w:tc>
      </w:tr>
      <w:tr w:rsidR="00DF25EA" w:rsidRPr="008E38A8" w:rsidTr="00B03510">
        <w:tc>
          <w:tcPr>
            <w:tcW w:w="1068"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t>9/3/14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t>Behavioral health integration into Primary Care and the issues with coding</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p>
        </w:tc>
      </w:tr>
      <w:tr w:rsidR="00DF25EA" w:rsidRPr="008E38A8" w:rsidTr="00B03510">
        <w:tc>
          <w:tcPr>
            <w:tcW w:w="1068"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t>8/6/14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8E38A8" w:rsidRDefault="00DF25EA" w:rsidP="00B03510">
            <w:pPr>
              <w:rPr>
                <w:rFonts w:asciiTheme="minorHAnsi" w:hAnsiTheme="minorHAnsi"/>
                <w:sz w:val="22"/>
                <w:szCs w:val="22"/>
              </w:rPr>
            </w:pPr>
            <w:r w:rsidRPr="008E38A8">
              <w:rPr>
                <w:rFonts w:asciiTheme="minorHAnsi" w:hAnsiTheme="minorHAnsi" w:cstheme="minorHAnsi"/>
                <w:sz w:val="22"/>
                <w:szCs w:val="22"/>
              </w:rPr>
              <w:t>The Opportunity to involve SIM in the rewriting of the ACBS Waiver required by March 15</w:t>
            </w:r>
            <w:r w:rsidRPr="008E38A8">
              <w:rPr>
                <w:rFonts w:asciiTheme="minorHAnsi" w:hAnsiTheme="minorHAnsi" w:cstheme="minorHAnsi"/>
                <w:sz w:val="22"/>
                <w:szCs w:val="22"/>
                <w:vertAlign w:val="superscript"/>
              </w:rPr>
              <w:t>th</w:t>
            </w:r>
            <w:r w:rsidRPr="008E38A8">
              <w:rPr>
                <w:rFonts w:asciiTheme="minorHAnsi" w:hAnsiTheme="minorHAnsi" w:cstheme="minorHAnsi"/>
                <w:sz w:val="22"/>
                <w:szCs w:val="22"/>
              </w:rPr>
              <w:t>.</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p>
        </w:tc>
      </w:tr>
      <w:tr w:rsidR="00DF25EA" w:rsidRPr="00382C14" w:rsidTr="00B03510">
        <w:tc>
          <w:tcPr>
            <w:tcW w:w="1068" w:type="dxa"/>
          </w:tcPr>
          <w:p w:rsidR="00DF25EA" w:rsidRPr="008A58FD" w:rsidRDefault="00DF25EA" w:rsidP="00B03510">
            <w:pPr>
              <w:rPr>
                <w:rFonts w:asciiTheme="minorHAnsi" w:hAnsiTheme="minorHAnsi"/>
                <w:sz w:val="22"/>
                <w:szCs w:val="22"/>
              </w:rPr>
            </w:pPr>
            <w:r w:rsidRPr="008A58FD">
              <w:rPr>
                <w:rFonts w:asciiTheme="minorHAnsi" w:hAnsiTheme="minorHAnsi"/>
                <w:sz w:val="22"/>
                <w:szCs w:val="22"/>
              </w:rPr>
              <w:t>6/4/14</w:t>
            </w:r>
          </w:p>
          <w:p w:rsidR="00DF25EA" w:rsidRPr="008A58FD" w:rsidRDefault="00DF25EA" w:rsidP="00B03510">
            <w:pPr>
              <w:rPr>
                <w:rFonts w:asciiTheme="minorHAnsi" w:hAnsiTheme="minorHAnsi"/>
                <w:sz w:val="22"/>
                <w:szCs w:val="22"/>
              </w:rPr>
            </w:pPr>
          </w:p>
          <w:p w:rsidR="00DF25EA" w:rsidRPr="008A58FD" w:rsidRDefault="00DF25EA" w:rsidP="00B03510">
            <w:pPr>
              <w:rPr>
                <w:rFonts w:asciiTheme="minorHAnsi" w:hAnsiTheme="minorHAnsi"/>
                <w:sz w:val="22"/>
                <w:szCs w:val="22"/>
              </w:rPr>
            </w:pPr>
          </w:p>
        </w:tc>
        <w:tc>
          <w:tcPr>
            <w:tcW w:w="4844" w:type="dxa"/>
          </w:tcPr>
          <w:p w:rsidR="00DF25EA" w:rsidRPr="008A58FD" w:rsidRDefault="00DF25EA" w:rsidP="00B03510">
            <w:pPr>
              <w:rPr>
                <w:rFonts w:asciiTheme="minorHAnsi" w:hAnsiTheme="minorHAnsi"/>
                <w:sz w:val="22"/>
                <w:szCs w:val="22"/>
              </w:rPr>
            </w:pPr>
            <w:r>
              <w:rPr>
                <w:rFonts w:asciiTheme="minorHAnsi" w:hAnsiTheme="minorHAnsi"/>
                <w:sz w:val="22"/>
                <w:szCs w:val="22"/>
              </w:rPr>
              <w:t xml:space="preserve">The rate structure for the BHHOs presents a risk that services required are not sustainable </w:t>
            </w:r>
          </w:p>
        </w:tc>
        <w:tc>
          <w:tcPr>
            <w:tcW w:w="2942" w:type="dxa"/>
          </w:tcPr>
          <w:p w:rsidR="00DF25EA" w:rsidRPr="008A58FD" w:rsidRDefault="00DF25EA" w:rsidP="00B03510">
            <w:pPr>
              <w:rPr>
                <w:rFonts w:asciiTheme="minorHAnsi" w:hAnsiTheme="minorHAnsi"/>
                <w:sz w:val="22"/>
                <w:szCs w:val="22"/>
              </w:rPr>
            </w:pPr>
            <w:r>
              <w:rPr>
                <w:rFonts w:asciiTheme="minorHAnsi" w:hAnsiTheme="minorHAnsi"/>
                <w:sz w:val="22"/>
                <w:szCs w:val="22"/>
              </w:rPr>
              <w:t xml:space="preserve">Explore with </w:t>
            </w:r>
            <w:proofErr w:type="spellStart"/>
            <w:r>
              <w:rPr>
                <w:rFonts w:asciiTheme="minorHAnsi" w:hAnsiTheme="minorHAnsi"/>
                <w:sz w:val="22"/>
                <w:szCs w:val="22"/>
              </w:rPr>
              <w:t>MaineCare</w:t>
            </w:r>
            <w:proofErr w:type="spellEnd"/>
            <w:r>
              <w:rPr>
                <w:rFonts w:asciiTheme="minorHAnsi" w:hAnsiTheme="minorHAnsi"/>
                <w:sz w:val="22"/>
                <w:szCs w:val="22"/>
              </w:rPr>
              <w:t xml:space="preserve"> and Payment Reform Subcommittee?</w:t>
            </w:r>
          </w:p>
        </w:tc>
        <w:tc>
          <w:tcPr>
            <w:tcW w:w="2085" w:type="dxa"/>
          </w:tcPr>
          <w:p w:rsidR="00DF25EA" w:rsidRPr="008A58FD" w:rsidRDefault="00DF25EA" w:rsidP="00B03510">
            <w:pPr>
              <w:rPr>
                <w:rFonts w:asciiTheme="minorHAnsi" w:hAnsiTheme="minorHAnsi"/>
                <w:b/>
                <w:sz w:val="22"/>
                <w:szCs w:val="22"/>
              </w:rPr>
            </w:pPr>
          </w:p>
        </w:tc>
        <w:tc>
          <w:tcPr>
            <w:tcW w:w="2323" w:type="dxa"/>
          </w:tcPr>
          <w:p w:rsidR="00DF25EA" w:rsidRPr="008A58FD" w:rsidRDefault="00DF25EA" w:rsidP="00B03510">
            <w:pPr>
              <w:rPr>
                <w:rFonts w:asciiTheme="minorHAnsi" w:hAnsiTheme="minorHAnsi"/>
                <w:b/>
                <w:sz w:val="22"/>
                <w:szCs w:val="22"/>
              </w:rPr>
            </w:pPr>
            <w:r>
              <w:rPr>
                <w:rFonts w:asciiTheme="minorHAnsi" w:hAnsiTheme="minorHAnsi"/>
                <w:b/>
                <w:sz w:val="22"/>
                <w:szCs w:val="22"/>
              </w:rPr>
              <w:t xml:space="preserve">Initiative Owners: </w:t>
            </w:r>
            <w:proofErr w:type="spellStart"/>
            <w:r>
              <w:rPr>
                <w:rFonts w:asciiTheme="minorHAnsi" w:hAnsiTheme="minorHAnsi"/>
                <w:b/>
                <w:sz w:val="22"/>
                <w:szCs w:val="22"/>
              </w:rPr>
              <w:t>MaineCare</w:t>
            </w:r>
            <w:proofErr w:type="spellEnd"/>
            <w:r>
              <w:rPr>
                <w:rFonts w:asciiTheme="minorHAnsi" w:hAnsiTheme="minorHAnsi"/>
                <w:b/>
                <w:sz w:val="22"/>
                <w:szCs w:val="22"/>
              </w:rPr>
              <w:t>; Anne Conners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4/9/14</w:t>
            </w:r>
          </w:p>
        </w:tc>
        <w:tc>
          <w:tcPr>
            <w:tcW w:w="4844" w:type="dxa"/>
          </w:tcPr>
          <w:p w:rsidR="00DF25EA" w:rsidRPr="00382C14" w:rsidRDefault="00DF25EA" w:rsidP="00E57983">
            <w:pPr>
              <w:rPr>
                <w:rFonts w:asciiTheme="minorHAnsi" w:hAnsiTheme="minorHAnsi"/>
                <w:sz w:val="22"/>
                <w:szCs w:val="22"/>
              </w:rPr>
            </w:pPr>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 xml:space="preserve">Consumer/member involvement in </w:t>
            </w:r>
            <w:r w:rsidRPr="00382C14">
              <w:rPr>
                <w:rFonts w:asciiTheme="minorHAnsi" w:hAnsiTheme="minorHAnsi"/>
                <w:sz w:val="22"/>
                <w:szCs w:val="22"/>
              </w:rPr>
              <w:lastRenderedPageBreak/>
              <w:t>communications and design of initiatives</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61044D">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P3 Pilots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Initiative owner: MCDC</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Coordination between provider and employer organizations for National Diabetes Prevention Program – the communications must be fluid in order to successfully implement for sustainability</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Initiative owner: MCDC</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A25DD8">
            <w:pPr>
              <w:rPr>
                <w:rFonts w:asciiTheme="minorHAnsi" w:hAnsiTheme="minorHAnsi"/>
                <w:sz w:val="22"/>
                <w:szCs w:val="22"/>
              </w:rPr>
            </w:pPr>
            <w:r w:rsidRPr="00382C14">
              <w:rPr>
                <w:rFonts w:asciiTheme="minorHAnsi" w:hAnsiTheme="minorHAnsi"/>
                <w:sz w:val="22"/>
                <w:szCs w:val="22"/>
              </w:rPr>
              <w:t>Change capacity for provider community may be maxed out – change fatigue – providers may not be able to adopt changes put forth under SIM</w:t>
            </w:r>
          </w:p>
          <w:p w:rsidR="00DF25EA" w:rsidRPr="00382C14" w:rsidRDefault="00DF25EA" w:rsidP="00A25DD8">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Relationship between all the players in the SIM initiatives, CHW, Peer Support, Care Coordinators, etc., may lead to fragmented care and complications for patients</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Steering 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Program</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Team/</w:t>
            </w: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/CMS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BHHO structure </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Look at regional capacity through applicants for Stage B;</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Explore State Waivers; work with Region 1 SAMSHA; Launch consumer engagement efforts to </w:t>
            </w:r>
            <w:r w:rsidRPr="00382C14">
              <w:rPr>
                <w:rFonts w:asciiTheme="minorHAnsi" w:hAnsiTheme="minorHAnsi"/>
                <w:sz w:val="22"/>
                <w:szCs w:val="22"/>
              </w:rPr>
              <w:lastRenderedPageBreak/>
              <w:t>encourage patients to endorse sharing of information for care</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xml:space="preserve">; SIM Leadership Team; BHHO Learning Collaborative; Data </w:t>
            </w:r>
            <w:r w:rsidRPr="00382C14">
              <w:rPr>
                <w:rFonts w:asciiTheme="minorHAnsi" w:hAnsiTheme="minorHAnsi"/>
                <w:b/>
                <w:sz w:val="22"/>
                <w:szCs w:val="22"/>
              </w:rPr>
              <w:lastRenderedPageBreak/>
              <w:t>Infrastructure Subcommittee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rsidR="00DF25EA" w:rsidRPr="00382C14" w:rsidRDefault="00DF25EA" w:rsidP="00DC2ABE">
            <w:pPr>
              <w:rPr>
                <w:rFonts w:asciiTheme="minorHAnsi" w:hAnsiTheme="minorHAnsi"/>
                <w:sz w:val="22"/>
                <w:szCs w:val="22"/>
              </w:rPr>
            </w:pPr>
            <w:r w:rsidRPr="00382C14">
              <w:rPr>
                <w:rFonts w:asciiTheme="minorHAnsi" w:hAnsiTheme="minorHAnsi"/>
                <w:sz w:val="22"/>
                <w:szCs w:val="22"/>
              </w:rPr>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Identify how the HH Learning Collaborative can advance solutions for primary care; identify and assign mitigation to other stakeholders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Care coordination across SIM Initiatives may become confusing and duplicative; particularly considering specific populations (e.g., people living with intellectual disabilities</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Bring into March DSR Subcommittee for recommendations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Sustainability of BHHO model and payment structure requires broad stakeholder commitment</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BHHO Learning Collaborative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Consumers may not be appropriately educated/prepared for participation in HH/BHHO structures</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Launch consumer engagement campaigns focused on </w:t>
            </w:r>
            <w:proofErr w:type="spellStart"/>
            <w:r w:rsidRPr="00382C14">
              <w:rPr>
                <w:rFonts w:asciiTheme="minorHAnsi" w:hAnsiTheme="minorHAnsi"/>
                <w:sz w:val="22"/>
                <w:szCs w:val="22"/>
              </w:rPr>
              <w:t>MaineCare</w:t>
            </w:r>
            <w:proofErr w:type="spellEnd"/>
            <w:r w:rsidRPr="00382C14">
              <w:rPr>
                <w:rFonts w:asciiTheme="minorHAnsi" w:hAnsiTheme="minorHAnsi"/>
                <w:sz w:val="22"/>
                <w:szCs w:val="22"/>
              </w:rPr>
              <w:t xml:space="preserve"> patients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Delivery System Reform Subcommittee; SIM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xml:space="preserve"> for HH and BHHO may require technical innovations to support remote participation</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Review technical capacity for facilitating learning </w:t>
            </w:r>
            <w:proofErr w:type="spellStart"/>
            <w:r w:rsidRPr="00382C14">
              <w:rPr>
                <w:rFonts w:asciiTheme="minorHAnsi" w:hAnsiTheme="minorHAnsi"/>
                <w:sz w:val="22"/>
                <w:szCs w:val="22"/>
              </w:rPr>
              <w:t>collaboratives</w:t>
            </w:r>
            <w:proofErr w:type="spellEnd"/>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Quality Counts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Continuation of enhanced primary care payment to support the PCMH/HH/CCT model is critical to sustaining the transformation in the delivery 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State support for continuation of enhanced payment model</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Understanding the difference between the Community Care Team, Community Health Worker, Care Manager and Case Manager models is critical to ensure effective funding, implementation and sustainability of these models in the delivery </w:t>
            </w:r>
            <w:r w:rsidRPr="00382C14">
              <w:rPr>
                <w:rFonts w:asciiTheme="minorHAnsi" w:hAnsiTheme="minorHAnsi"/>
                <w:sz w:val="22"/>
                <w:szCs w:val="22"/>
              </w:rPr>
              <w:lastRenderedPageBreak/>
              <w:t>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 xml:space="preserve">1) Ensure collaborative work with the initiatives to clarify the different in the models and how they can be used in conjunction; possibly </w:t>
            </w:r>
            <w:r w:rsidRPr="00382C14">
              <w:rPr>
                <w:rFonts w:asciiTheme="minorHAnsi" w:hAnsiTheme="minorHAnsi"/>
                <w:sz w:val="22"/>
                <w:szCs w:val="22"/>
              </w:rPr>
              <w:lastRenderedPageBreak/>
              <w:t>encourage a CHW pilot in conjunction with a Community Care Team in order to test the interaction</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 xml:space="preserve">HH Learning Collaborative; Behavioral Health Home Learning Collaborative; </w:t>
            </w:r>
            <w:r w:rsidRPr="00382C14">
              <w:rPr>
                <w:rFonts w:asciiTheme="minorHAnsi" w:hAnsiTheme="minorHAnsi"/>
                <w:b/>
                <w:sz w:val="22"/>
                <w:szCs w:val="22"/>
              </w:rPr>
              <w:lastRenderedPageBreak/>
              <w:t>Community Health Worker Initiative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Tracking of short and long term results from the enhanced primary care models is critical to ensure that stakeholders are aware of the value being derived from the models to the Delivery System, Employers, Payers and Government</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Work with existing evaluation teams from the PCMH Pilot and HH Model, as well as SIM evaluation to ensure that short term benefits and results are tracked in a timely way and communicated to stakeholders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HH Learning Collaborative; Muskie; SIM Evaluation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Data Infrastructure Subcommittee</w:t>
            </w:r>
          </w:p>
          <w:p w:rsidR="00DF25EA" w:rsidRPr="00382C14" w:rsidRDefault="00DF25EA" w:rsidP="00DC2ABE">
            <w:pPr>
              <w:rPr>
                <w:rFonts w:asciiTheme="minorHAnsi" w:hAnsiTheme="minorHAnsi"/>
                <w:b/>
                <w:sz w:val="22"/>
                <w:szCs w:val="22"/>
              </w:rPr>
            </w:pPr>
          </w:p>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 xml:space="preserve">Confusion in language of the Charge:  </w:t>
            </w:r>
            <w:proofErr w:type="gramStart"/>
            <w:r w:rsidRPr="00382C14">
              <w:rPr>
                <w:rFonts w:asciiTheme="minorHAnsi" w:hAnsiTheme="minorHAnsi"/>
                <w:sz w:val="22"/>
                <w:szCs w:val="22"/>
              </w:rPr>
              <w:t>that Subcommittee members</w:t>
            </w:r>
            <w:proofErr w:type="gramEnd"/>
            <w:r w:rsidRPr="00382C14">
              <w:rPr>
                <w:rFonts w:asciiTheme="minorHAnsi" w:hAnsiTheme="minorHAnsi"/>
                <w:sz w:val="22"/>
                <w:szCs w:val="22"/>
              </w:rPr>
              <w:t xml:space="preserve">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2942"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 xml:space="preserve">1) clarify with the Governance Structure the actual ability of the 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w:t>
            </w:r>
            <w:r w:rsidRPr="00382C14">
              <w:rPr>
                <w:rFonts w:asciiTheme="minorHAnsi" w:hAnsiTheme="minorHAnsi"/>
                <w:sz w:val="22"/>
                <w:szCs w:val="22"/>
              </w:rPr>
              <w:lastRenderedPageBreak/>
              <w:t>Subcommittee has.</w:t>
            </w: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lastRenderedPageBreak/>
              <w:t>Pros: mitigation steps will improve meeting process and clarify expected actions for members;</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Cons: mitigation may not be sufficient for all members to feel appropriately empowered based on their expectations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Project Management</w:t>
            </w:r>
          </w:p>
          <w:p w:rsidR="00DF25EA" w:rsidRPr="00382C14" w:rsidRDefault="00DF25EA" w:rsidP="00DC2ABE">
            <w:pPr>
              <w:rPr>
                <w:rFonts w:asciiTheme="minorHAnsi" w:hAnsiTheme="minorHAnsi"/>
                <w:b/>
                <w:sz w:val="22"/>
                <w:szCs w:val="22"/>
              </w:rPr>
            </w:pPr>
          </w:p>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11/6/13</w:t>
            </w:r>
          </w:p>
        </w:tc>
        <w:tc>
          <w:tcPr>
            <w:tcW w:w="4844"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ensure that in our review of SIM Initiatives on the Delivery System Reform Subcommittee, we include a focused criteria/framework consideration of authentic consumer engagement, and document any recommendations that result; 2) to bring the concerns to the Governance Structure to be addressed and responded to, and 3) to appropriately track and close the results of the recommendations and what was done with them.</w:t>
            </w:r>
          </w:p>
          <w:p w:rsidR="00DF25EA" w:rsidRPr="00382C14" w:rsidRDefault="00DF25EA" w:rsidP="00DC2ABE">
            <w:pPr>
              <w:ind w:left="360"/>
              <w:rPr>
                <w:rFonts w:asciiTheme="minorHAnsi" w:hAnsiTheme="minorHAnsi"/>
                <w:b/>
                <w:sz w:val="22"/>
                <w:szCs w:val="22"/>
              </w:rPr>
            </w:pP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 xml:space="preserve">Pros: mitigation steps will improve meeting process and clarify results of subcommittee actions; </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Cons: mitigation may not sufficiently address consumer engagement concerns across SIM initiatives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Project Management</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10/31/13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Large size of the group and potential Ad Hoc and Interested Parties may complicate meeting process and make the Subcommittee deliberations </w:t>
            </w:r>
            <w:proofErr w:type="spellStart"/>
            <w:r w:rsidRPr="00382C14">
              <w:rPr>
                <w:rFonts w:asciiTheme="minorHAnsi" w:hAnsiTheme="minorHAnsi"/>
                <w:sz w:val="22"/>
                <w:szCs w:val="22"/>
              </w:rPr>
              <w:t>unmanagable</w:t>
            </w:r>
            <w:proofErr w:type="spellEnd"/>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Create a process to identify Core and Ad Hoc consensus voting members clearly for each meeting</w:t>
            </w: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Pros: will focus and support meeting process</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Cons: may inadvertently limit engagement of Interested parties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Subcommittee Chair</w:t>
            </w: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rsidTr="003B18D0">
        <w:tc>
          <w:tcPr>
            <w:tcW w:w="13262" w:type="dxa"/>
            <w:gridSpan w:val="2"/>
            <w:shd w:val="clear" w:color="auto" w:fill="D9D9D9" w:themeFill="background1" w:themeFillShade="D9"/>
          </w:tcPr>
          <w:p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rsidTr="003B18D0">
        <w:tc>
          <w:tcPr>
            <w:tcW w:w="5167"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205ACD" w:rsidRPr="00382C14" w:rsidTr="003B18D0">
        <w:tc>
          <w:tcPr>
            <w:tcW w:w="5167" w:type="dxa"/>
          </w:tcPr>
          <w:p w:rsidR="00205ACD" w:rsidRDefault="00205ACD" w:rsidP="00A93934"/>
          <w:p w:rsidR="00205ACD" w:rsidRDefault="00205ACD" w:rsidP="00A93934"/>
          <w:p w:rsidR="00205ACD" w:rsidRDefault="00205ACD" w:rsidP="00A93934"/>
          <w:p w:rsidR="00205ACD" w:rsidRDefault="00205ACD" w:rsidP="00A93934"/>
        </w:tc>
        <w:tc>
          <w:tcPr>
            <w:tcW w:w="8095" w:type="dxa"/>
          </w:tcPr>
          <w:p w:rsidR="00205ACD" w:rsidRDefault="00205ACD" w:rsidP="00A93934"/>
        </w:tc>
      </w:tr>
      <w:tr w:rsidR="008D12EE" w:rsidRPr="00382C14" w:rsidTr="003B18D0">
        <w:tc>
          <w:tcPr>
            <w:tcW w:w="5167" w:type="dxa"/>
          </w:tcPr>
          <w:p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rsidTr="003B18D0">
        <w:tc>
          <w:tcPr>
            <w:tcW w:w="5167" w:type="dxa"/>
          </w:tcPr>
          <w:p w:rsidR="00026C79" w:rsidRPr="00382C14" w:rsidRDefault="00026C79" w:rsidP="00A93934">
            <w:r>
              <w:rPr>
                <w:rFonts w:asciiTheme="minorHAnsi" w:hAnsiTheme="minorHAnsi"/>
                <w:sz w:val="22"/>
                <w:szCs w:val="22"/>
              </w:rPr>
              <w:lastRenderedPageBreak/>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8095" w:type="dxa"/>
          </w:tcPr>
          <w:p w:rsidR="00026C79" w:rsidRPr="00382C14" w:rsidRDefault="00026C79" w:rsidP="00A93934"/>
        </w:tc>
      </w:tr>
      <w:tr w:rsidR="00B718DC" w:rsidRPr="00382C14" w:rsidTr="003B18D0">
        <w:tc>
          <w:tcPr>
            <w:tcW w:w="5167"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rsidR="00B718DC" w:rsidRPr="00382C14" w:rsidRDefault="00751FA6" w:rsidP="00A93934">
            <w:pPr>
              <w:rPr>
                <w:rFonts w:asciiTheme="minorHAnsi" w:hAnsiTheme="minorHAnsi"/>
                <w:sz w:val="22"/>
                <w:szCs w:val="22"/>
              </w:rPr>
            </w:pPr>
            <w:proofErr w:type="spellStart"/>
            <w:r w:rsidRPr="00382C14">
              <w:rPr>
                <w:rFonts w:asciiTheme="minorHAnsi" w:hAnsiTheme="minorHAnsi"/>
                <w:sz w:val="22"/>
                <w:szCs w:val="22"/>
              </w:rPr>
              <w:t>HealthInfo</w:t>
            </w:r>
            <w:proofErr w:type="spellEnd"/>
            <w:r w:rsidRPr="00382C14">
              <w:rPr>
                <w:rFonts w:asciiTheme="minorHAnsi" w:hAnsiTheme="minorHAnsi"/>
                <w:sz w:val="22"/>
                <w:szCs w:val="22"/>
              </w:rPr>
              <w:t xml:space="preserve"> Net notification functions and initiatives under SIM DSR; need ability to leverage HIT tools to accomplish the delivery system reform goals</w:t>
            </w:r>
          </w:p>
        </w:tc>
      </w:tr>
      <w:tr w:rsidR="00A93934" w:rsidRPr="00382C14" w:rsidTr="003B18D0">
        <w:tc>
          <w:tcPr>
            <w:tcW w:w="5167" w:type="dxa"/>
          </w:tcPr>
          <w:p w:rsidR="00A93934" w:rsidRPr="00382C14" w:rsidRDefault="00751FA6" w:rsidP="00A93934">
            <w:pPr>
              <w:rPr>
                <w:rFonts w:asciiTheme="minorHAnsi" w:hAnsiTheme="minorHAnsi"/>
                <w:sz w:val="22"/>
                <w:szCs w:val="22"/>
              </w:rPr>
            </w:pPr>
            <w:r w:rsidRPr="00382C14">
              <w:rPr>
                <w:rFonts w:asciiTheme="minorHAnsi" w:hAnsiTheme="minorHAnsi"/>
                <w:sz w:val="22"/>
                <w:szCs w:val="22"/>
              </w:rPr>
              <w:t>Community Health Worker potential reimbursement/financing models</w:t>
            </w: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 xml:space="preserve">Recommendations for effective sharing of PHI for HH and BHHO; strategies to incorporate in 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Consumer education recommendations to encourage appropriate sharing of information</w:t>
            </w:r>
          </w:p>
        </w:tc>
      </w:tr>
      <w:tr w:rsidR="00A93934" w:rsidRPr="00382C14" w:rsidTr="003B18D0">
        <w:tc>
          <w:tcPr>
            <w:tcW w:w="5167" w:type="dxa"/>
          </w:tcPr>
          <w:p w:rsidR="00A93934" w:rsidRPr="00382C14" w:rsidRDefault="00A93934" w:rsidP="00A93934">
            <w:pPr>
              <w:rPr>
                <w:rFonts w:asciiTheme="minorHAnsi" w:hAnsiTheme="minorHAnsi"/>
                <w:sz w:val="22"/>
                <w:szCs w:val="22"/>
              </w:rPr>
            </w:pP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How do we broaden use of all PCMH/HH primary care practices of the HIE and functions, such as real-time notifications for ER and Inpatient use and reports?  How can we track uptake and use across the state (e.g., usage stats)</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w:t>
            </w:r>
            <w:proofErr w:type="spellStart"/>
            <w:r w:rsidRPr="00382C14">
              <w:rPr>
                <w:rFonts w:asciiTheme="minorHAnsi" w:hAnsiTheme="minorHAnsi" w:cstheme="minorHAnsi"/>
                <w:sz w:val="22"/>
                <w:szCs w:val="22"/>
              </w:rPr>
              <w:t>e.g</w:t>
            </w:r>
            <w:proofErr w:type="spellEnd"/>
            <w:r w:rsidRPr="00382C14">
              <w:rPr>
                <w:rFonts w:asciiTheme="minorHAnsi" w:hAnsiTheme="minorHAnsi" w:cstheme="minorHAnsi"/>
                <w:sz w:val="22"/>
                <w:szCs w:val="22"/>
              </w:rPr>
              <w:t>, Direct Email) can be used to connect community providers (e.g., Community Health Workers) to critical care management information?</w:t>
            </w:r>
          </w:p>
        </w:tc>
      </w:tr>
      <w:tr w:rsidR="008A4222" w:rsidRPr="00382C14" w:rsidTr="003B18D0">
        <w:tc>
          <w:tcPr>
            <w:tcW w:w="5167" w:type="dxa"/>
          </w:tcPr>
          <w:p w:rsidR="008A4222" w:rsidRPr="00382C14" w:rsidRDefault="008A4222" w:rsidP="00A93934">
            <w:pPr>
              <w:rPr>
                <w:rFonts w:asciiTheme="minorHAnsi" w:hAnsiTheme="minorHAnsi"/>
                <w:sz w:val="22"/>
                <w:szCs w:val="22"/>
              </w:rPr>
            </w:pPr>
          </w:p>
        </w:tc>
        <w:tc>
          <w:tcPr>
            <w:tcW w:w="8095" w:type="dxa"/>
          </w:tcPr>
          <w:p w:rsidR="008A4222" w:rsidRPr="00382C14" w:rsidRDefault="008A4222" w:rsidP="003B18D0">
            <w:pPr>
              <w:rPr>
                <w:rFonts w:asciiTheme="minorHAnsi" w:hAnsiTheme="minorHAnsi"/>
                <w:sz w:val="22"/>
                <w:szCs w:val="22"/>
              </w:rPr>
            </w:pP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Critical to ensure that the enhanced primary care payment is continued through the duration of SIM in order to sustain transformation in primary care and delivery system</w:t>
            </w:r>
          </w:p>
        </w:tc>
        <w:tc>
          <w:tcPr>
            <w:tcW w:w="8095"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Payment models and structure of reimbursement for Community Health Worker Pilots</w:t>
            </w:r>
          </w:p>
        </w:tc>
        <w:tc>
          <w:tcPr>
            <w:tcW w:w="8095" w:type="dxa"/>
          </w:tcPr>
          <w:p w:rsidR="00A93934" w:rsidRPr="00382C14" w:rsidRDefault="00A93934" w:rsidP="00A93934">
            <w:pPr>
              <w:rPr>
                <w:rFonts w:asciiTheme="minorHAnsi" w:hAnsiTheme="minorHAnsi"/>
                <w:b/>
                <w:sz w:val="22"/>
                <w:szCs w:val="22"/>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default" r:id="rId12"/>
      <w:footerReference w:type="default" r:id="rId13"/>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A5" w:rsidRDefault="004A5AA5" w:rsidP="009528AC">
      <w:pPr>
        <w:spacing w:after="0" w:line="240" w:lineRule="auto"/>
      </w:pPr>
      <w:r>
        <w:separator/>
      </w:r>
    </w:p>
  </w:endnote>
  <w:endnote w:type="continuationSeparator" w:id="0">
    <w:p w:rsidR="004A5AA5" w:rsidRDefault="004A5AA5"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B03510" w:rsidRDefault="00B03510">
        <w:pPr>
          <w:pStyle w:val="Footer"/>
          <w:jc w:val="right"/>
        </w:pPr>
        <w:r>
          <w:fldChar w:fldCharType="begin"/>
        </w:r>
        <w:r>
          <w:instrText xml:space="preserve"> PAGE   \* MERGEFORMAT </w:instrText>
        </w:r>
        <w:r>
          <w:fldChar w:fldCharType="separate"/>
        </w:r>
        <w:r w:rsidR="00DF25EA">
          <w:rPr>
            <w:noProof/>
          </w:rPr>
          <w:t>8</w:t>
        </w:r>
        <w:r>
          <w:rPr>
            <w:noProof/>
          </w:rPr>
          <w:fldChar w:fldCharType="end"/>
        </w:r>
      </w:p>
    </w:sdtContent>
  </w:sdt>
  <w:p w:rsidR="00B03510" w:rsidRDefault="00B03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A5" w:rsidRDefault="004A5AA5" w:rsidP="009528AC">
      <w:pPr>
        <w:spacing w:after="0" w:line="240" w:lineRule="auto"/>
      </w:pPr>
      <w:r>
        <w:separator/>
      </w:r>
    </w:p>
  </w:footnote>
  <w:footnote w:type="continuationSeparator" w:id="0">
    <w:p w:rsidR="004A5AA5" w:rsidRDefault="004A5AA5"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rsidR="00B03510" w:rsidRDefault="00DF25E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D94"/>
    <w:multiLevelType w:val="hybridMultilevel"/>
    <w:tmpl w:val="D54E9A78"/>
    <w:lvl w:ilvl="0" w:tplc="652239F4">
      <w:start w:val="1"/>
      <w:numFmt w:val="bullet"/>
      <w:lvlText w:val="•"/>
      <w:lvlJc w:val="left"/>
      <w:pPr>
        <w:tabs>
          <w:tab w:val="num" w:pos="720"/>
        </w:tabs>
        <w:ind w:left="720" w:hanging="360"/>
      </w:pPr>
      <w:rPr>
        <w:rFonts w:ascii="Arial" w:hAnsi="Arial" w:hint="default"/>
      </w:rPr>
    </w:lvl>
    <w:lvl w:ilvl="1" w:tplc="A0F42208">
      <w:start w:val="1759"/>
      <w:numFmt w:val="bullet"/>
      <w:lvlText w:val="–"/>
      <w:lvlJc w:val="left"/>
      <w:pPr>
        <w:tabs>
          <w:tab w:val="num" w:pos="1440"/>
        </w:tabs>
        <w:ind w:left="1440" w:hanging="360"/>
      </w:pPr>
      <w:rPr>
        <w:rFonts w:ascii="Arial" w:hAnsi="Arial" w:hint="default"/>
      </w:rPr>
    </w:lvl>
    <w:lvl w:ilvl="2" w:tplc="D54A2A80" w:tentative="1">
      <w:start w:val="1"/>
      <w:numFmt w:val="bullet"/>
      <w:lvlText w:val="•"/>
      <w:lvlJc w:val="left"/>
      <w:pPr>
        <w:tabs>
          <w:tab w:val="num" w:pos="2160"/>
        </w:tabs>
        <w:ind w:left="2160" w:hanging="360"/>
      </w:pPr>
      <w:rPr>
        <w:rFonts w:ascii="Arial" w:hAnsi="Arial" w:hint="default"/>
      </w:rPr>
    </w:lvl>
    <w:lvl w:ilvl="3" w:tplc="D53866E8" w:tentative="1">
      <w:start w:val="1"/>
      <w:numFmt w:val="bullet"/>
      <w:lvlText w:val="•"/>
      <w:lvlJc w:val="left"/>
      <w:pPr>
        <w:tabs>
          <w:tab w:val="num" w:pos="2880"/>
        </w:tabs>
        <w:ind w:left="2880" w:hanging="360"/>
      </w:pPr>
      <w:rPr>
        <w:rFonts w:ascii="Arial" w:hAnsi="Arial" w:hint="default"/>
      </w:rPr>
    </w:lvl>
    <w:lvl w:ilvl="4" w:tplc="33107650" w:tentative="1">
      <w:start w:val="1"/>
      <w:numFmt w:val="bullet"/>
      <w:lvlText w:val="•"/>
      <w:lvlJc w:val="left"/>
      <w:pPr>
        <w:tabs>
          <w:tab w:val="num" w:pos="3600"/>
        </w:tabs>
        <w:ind w:left="3600" w:hanging="360"/>
      </w:pPr>
      <w:rPr>
        <w:rFonts w:ascii="Arial" w:hAnsi="Arial" w:hint="default"/>
      </w:rPr>
    </w:lvl>
    <w:lvl w:ilvl="5" w:tplc="4AA6241C" w:tentative="1">
      <w:start w:val="1"/>
      <w:numFmt w:val="bullet"/>
      <w:lvlText w:val="•"/>
      <w:lvlJc w:val="left"/>
      <w:pPr>
        <w:tabs>
          <w:tab w:val="num" w:pos="4320"/>
        </w:tabs>
        <w:ind w:left="4320" w:hanging="360"/>
      </w:pPr>
      <w:rPr>
        <w:rFonts w:ascii="Arial" w:hAnsi="Arial" w:hint="default"/>
      </w:rPr>
    </w:lvl>
    <w:lvl w:ilvl="6" w:tplc="ACB07638" w:tentative="1">
      <w:start w:val="1"/>
      <w:numFmt w:val="bullet"/>
      <w:lvlText w:val="•"/>
      <w:lvlJc w:val="left"/>
      <w:pPr>
        <w:tabs>
          <w:tab w:val="num" w:pos="5040"/>
        </w:tabs>
        <w:ind w:left="5040" w:hanging="360"/>
      </w:pPr>
      <w:rPr>
        <w:rFonts w:ascii="Arial" w:hAnsi="Arial" w:hint="default"/>
      </w:rPr>
    </w:lvl>
    <w:lvl w:ilvl="7" w:tplc="C47C5C4E" w:tentative="1">
      <w:start w:val="1"/>
      <w:numFmt w:val="bullet"/>
      <w:lvlText w:val="•"/>
      <w:lvlJc w:val="left"/>
      <w:pPr>
        <w:tabs>
          <w:tab w:val="num" w:pos="5760"/>
        </w:tabs>
        <w:ind w:left="5760" w:hanging="360"/>
      </w:pPr>
      <w:rPr>
        <w:rFonts w:ascii="Arial" w:hAnsi="Arial" w:hint="default"/>
      </w:rPr>
    </w:lvl>
    <w:lvl w:ilvl="8" w:tplc="8E42FCB6" w:tentative="1">
      <w:start w:val="1"/>
      <w:numFmt w:val="bullet"/>
      <w:lvlText w:val="•"/>
      <w:lvlJc w:val="left"/>
      <w:pPr>
        <w:tabs>
          <w:tab w:val="num" w:pos="6480"/>
        </w:tabs>
        <w:ind w:left="6480" w:hanging="360"/>
      </w:pPr>
      <w:rPr>
        <w:rFonts w:ascii="Arial" w:hAnsi="Arial" w:hint="default"/>
      </w:rPr>
    </w:lvl>
  </w:abstractNum>
  <w:abstractNum w:abstractNumId="1">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90668"/>
    <w:multiLevelType w:val="hybridMultilevel"/>
    <w:tmpl w:val="019C11F0"/>
    <w:lvl w:ilvl="0" w:tplc="903820AA">
      <w:start w:val="1"/>
      <w:numFmt w:val="decimal"/>
      <w:lvlText w:val="%1)"/>
      <w:lvlJc w:val="left"/>
      <w:pPr>
        <w:tabs>
          <w:tab w:val="num" w:pos="720"/>
        </w:tabs>
        <w:ind w:left="720" w:hanging="360"/>
      </w:pPr>
    </w:lvl>
    <w:lvl w:ilvl="1" w:tplc="6DF6F68E" w:tentative="1">
      <w:start w:val="1"/>
      <w:numFmt w:val="decimal"/>
      <w:lvlText w:val="%2)"/>
      <w:lvlJc w:val="left"/>
      <w:pPr>
        <w:tabs>
          <w:tab w:val="num" w:pos="1440"/>
        </w:tabs>
        <w:ind w:left="1440" w:hanging="360"/>
      </w:pPr>
    </w:lvl>
    <w:lvl w:ilvl="2" w:tplc="49DE4476" w:tentative="1">
      <w:start w:val="1"/>
      <w:numFmt w:val="decimal"/>
      <w:lvlText w:val="%3)"/>
      <w:lvlJc w:val="left"/>
      <w:pPr>
        <w:tabs>
          <w:tab w:val="num" w:pos="2160"/>
        </w:tabs>
        <w:ind w:left="2160" w:hanging="360"/>
      </w:pPr>
    </w:lvl>
    <w:lvl w:ilvl="3" w:tplc="DA987CA0" w:tentative="1">
      <w:start w:val="1"/>
      <w:numFmt w:val="decimal"/>
      <w:lvlText w:val="%4)"/>
      <w:lvlJc w:val="left"/>
      <w:pPr>
        <w:tabs>
          <w:tab w:val="num" w:pos="2880"/>
        </w:tabs>
        <w:ind w:left="2880" w:hanging="360"/>
      </w:pPr>
    </w:lvl>
    <w:lvl w:ilvl="4" w:tplc="938A7F0A" w:tentative="1">
      <w:start w:val="1"/>
      <w:numFmt w:val="decimal"/>
      <w:lvlText w:val="%5)"/>
      <w:lvlJc w:val="left"/>
      <w:pPr>
        <w:tabs>
          <w:tab w:val="num" w:pos="3600"/>
        </w:tabs>
        <w:ind w:left="3600" w:hanging="360"/>
      </w:pPr>
    </w:lvl>
    <w:lvl w:ilvl="5" w:tplc="2370EDF8" w:tentative="1">
      <w:start w:val="1"/>
      <w:numFmt w:val="decimal"/>
      <w:lvlText w:val="%6)"/>
      <w:lvlJc w:val="left"/>
      <w:pPr>
        <w:tabs>
          <w:tab w:val="num" w:pos="4320"/>
        </w:tabs>
        <w:ind w:left="4320" w:hanging="360"/>
      </w:pPr>
    </w:lvl>
    <w:lvl w:ilvl="6" w:tplc="E33288EE" w:tentative="1">
      <w:start w:val="1"/>
      <w:numFmt w:val="decimal"/>
      <w:lvlText w:val="%7)"/>
      <w:lvlJc w:val="left"/>
      <w:pPr>
        <w:tabs>
          <w:tab w:val="num" w:pos="5040"/>
        </w:tabs>
        <w:ind w:left="5040" w:hanging="360"/>
      </w:pPr>
    </w:lvl>
    <w:lvl w:ilvl="7" w:tplc="9190D84E" w:tentative="1">
      <w:start w:val="1"/>
      <w:numFmt w:val="decimal"/>
      <w:lvlText w:val="%8)"/>
      <w:lvlJc w:val="left"/>
      <w:pPr>
        <w:tabs>
          <w:tab w:val="num" w:pos="5760"/>
        </w:tabs>
        <w:ind w:left="5760" w:hanging="360"/>
      </w:pPr>
    </w:lvl>
    <w:lvl w:ilvl="8" w:tplc="D032C1AE" w:tentative="1">
      <w:start w:val="1"/>
      <w:numFmt w:val="decimal"/>
      <w:lvlText w:val="%9)"/>
      <w:lvlJc w:val="left"/>
      <w:pPr>
        <w:tabs>
          <w:tab w:val="num" w:pos="6480"/>
        </w:tabs>
        <w:ind w:left="6480" w:hanging="360"/>
      </w:pPr>
    </w:lvl>
  </w:abstractNum>
  <w:abstractNum w:abstractNumId="4">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14AB8"/>
    <w:multiLevelType w:val="hybridMultilevel"/>
    <w:tmpl w:val="E9D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10">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07EA0"/>
    <w:multiLevelType w:val="hybridMultilevel"/>
    <w:tmpl w:val="C090D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3382F"/>
    <w:multiLevelType w:val="hybridMultilevel"/>
    <w:tmpl w:val="F05483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017752B"/>
    <w:multiLevelType w:val="hybridMultilevel"/>
    <w:tmpl w:val="66B23E5C"/>
    <w:lvl w:ilvl="0" w:tplc="9A0A0CAE">
      <w:start w:val="1"/>
      <w:numFmt w:val="bullet"/>
      <w:lvlText w:val="•"/>
      <w:lvlJc w:val="left"/>
      <w:pPr>
        <w:tabs>
          <w:tab w:val="num" w:pos="720"/>
        </w:tabs>
        <w:ind w:left="720" w:hanging="360"/>
      </w:pPr>
      <w:rPr>
        <w:rFonts w:ascii="Arial" w:hAnsi="Arial" w:hint="default"/>
      </w:rPr>
    </w:lvl>
    <w:lvl w:ilvl="1" w:tplc="B8BEDAC2" w:tentative="1">
      <w:start w:val="1"/>
      <w:numFmt w:val="bullet"/>
      <w:lvlText w:val="•"/>
      <w:lvlJc w:val="left"/>
      <w:pPr>
        <w:tabs>
          <w:tab w:val="num" w:pos="1440"/>
        </w:tabs>
        <w:ind w:left="1440" w:hanging="360"/>
      </w:pPr>
      <w:rPr>
        <w:rFonts w:ascii="Arial" w:hAnsi="Arial" w:hint="default"/>
      </w:rPr>
    </w:lvl>
    <w:lvl w:ilvl="2" w:tplc="DEC4C7A0" w:tentative="1">
      <w:start w:val="1"/>
      <w:numFmt w:val="bullet"/>
      <w:lvlText w:val="•"/>
      <w:lvlJc w:val="left"/>
      <w:pPr>
        <w:tabs>
          <w:tab w:val="num" w:pos="2160"/>
        </w:tabs>
        <w:ind w:left="2160" w:hanging="360"/>
      </w:pPr>
      <w:rPr>
        <w:rFonts w:ascii="Arial" w:hAnsi="Arial" w:hint="default"/>
      </w:rPr>
    </w:lvl>
    <w:lvl w:ilvl="3" w:tplc="D4C63280" w:tentative="1">
      <w:start w:val="1"/>
      <w:numFmt w:val="bullet"/>
      <w:lvlText w:val="•"/>
      <w:lvlJc w:val="left"/>
      <w:pPr>
        <w:tabs>
          <w:tab w:val="num" w:pos="2880"/>
        </w:tabs>
        <w:ind w:left="2880" w:hanging="360"/>
      </w:pPr>
      <w:rPr>
        <w:rFonts w:ascii="Arial" w:hAnsi="Arial" w:hint="default"/>
      </w:rPr>
    </w:lvl>
    <w:lvl w:ilvl="4" w:tplc="DDF208E4" w:tentative="1">
      <w:start w:val="1"/>
      <w:numFmt w:val="bullet"/>
      <w:lvlText w:val="•"/>
      <w:lvlJc w:val="left"/>
      <w:pPr>
        <w:tabs>
          <w:tab w:val="num" w:pos="3600"/>
        </w:tabs>
        <w:ind w:left="3600" w:hanging="360"/>
      </w:pPr>
      <w:rPr>
        <w:rFonts w:ascii="Arial" w:hAnsi="Arial" w:hint="default"/>
      </w:rPr>
    </w:lvl>
    <w:lvl w:ilvl="5" w:tplc="4F421D1E" w:tentative="1">
      <w:start w:val="1"/>
      <w:numFmt w:val="bullet"/>
      <w:lvlText w:val="•"/>
      <w:lvlJc w:val="left"/>
      <w:pPr>
        <w:tabs>
          <w:tab w:val="num" w:pos="4320"/>
        </w:tabs>
        <w:ind w:left="4320" w:hanging="360"/>
      </w:pPr>
      <w:rPr>
        <w:rFonts w:ascii="Arial" w:hAnsi="Arial" w:hint="default"/>
      </w:rPr>
    </w:lvl>
    <w:lvl w:ilvl="6" w:tplc="78002356" w:tentative="1">
      <w:start w:val="1"/>
      <w:numFmt w:val="bullet"/>
      <w:lvlText w:val="•"/>
      <w:lvlJc w:val="left"/>
      <w:pPr>
        <w:tabs>
          <w:tab w:val="num" w:pos="5040"/>
        </w:tabs>
        <w:ind w:left="5040" w:hanging="360"/>
      </w:pPr>
      <w:rPr>
        <w:rFonts w:ascii="Arial" w:hAnsi="Arial" w:hint="default"/>
      </w:rPr>
    </w:lvl>
    <w:lvl w:ilvl="7" w:tplc="02B062F0" w:tentative="1">
      <w:start w:val="1"/>
      <w:numFmt w:val="bullet"/>
      <w:lvlText w:val="•"/>
      <w:lvlJc w:val="left"/>
      <w:pPr>
        <w:tabs>
          <w:tab w:val="num" w:pos="5760"/>
        </w:tabs>
        <w:ind w:left="5760" w:hanging="360"/>
      </w:pPr>
      <w:rPr>
        <w:rFonts w:ascii="Arial" w:hAnsi="Arial" w:hint="default"/>
      </w:rPr>
    </w:lvl>
    <w:lvl w:ilvl="8" w:tplc="30AE142C" w:tentative="1">
      <w:start w:val="1"/>
      <w:numFmt w:val="bullet"/>
      <w:lvlText w:val="•"/>
      <w:lvlJc w:val="left"/>
      <w:pPr>
        <w:tabs>
          <w:tab w:val="num" w:pos="6480"/>
        </w:tabs>
        <w:ind w:left="6480" w:hanging="360"/>
      </w:pPr>
      <w:rPr>
        <w:rFonts w:ascii="Arial" w:hAnsi="Arial" w:hint="default"/>
      </w:rPr>
    </w:lvl>
  </w:abstractNum>
  <w:abstractNum w:abstractNumId="16">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20"/>
  </w:num>
  <w:num w:numId="4">
    <w:abstractNumId w:val="4"/>
  </w:num>
  <w:num w:numId="5">
    <w:abstractNumId w:val="7"/>
  </w:num>
  <w:num w:numId="6">
    <w:abstractNumId w:val="16"/>
  </w:num>
  <w:num w:numId="7">
    <w:abstractNumId w:val="1"/>
  </w:num>
  <w:num w:numId="8">
    <w:abstractNumId w:val="21"/>
  </w:num>
  <w:num w:numId="9">
    <w:abstractNumId w:val="18"/>
  </w:num>
  <w:num w:numId="10">
    <w:abstractNumId w:val="9"/>
  </w:num>
  <w:num w:numId="11">
    <w:abstractNumId w:val="19"/>
  </w:num>
  <w:num w:numId="12">
    <w:abstractNumId w:val="2"/>
  </w:num>
  <w:num w:numId="13">
    <w:abstractNumId w:val="10"/>
  </w:num>
  <w:num w:numId="14">
    <w:abstractNumId w:val="17"/>
  </w:num>
  <w:num w:numId="15">
    <w:abstractNumId w:val="22"/>
  </w:num>
  <w:num w:numId="16">
    <w:abstractNumId w:val="13"/>
  </w:num>
  <w:num w:numId="17">
    <w:abstractNumId w:val="6"/>
  </w:num>
  <w:num w:numId="18">
    <w:abstractNumId w:val="11"/>
  </w:num>
  <w:num w:numId="19">
    <w:abstractNumId w:val="8"/>
  </w:num>
  <w:num w:numId="20">
    <w:abstractNumId w:val="12"/>
  </w:num>
  <w:num w:numId="21">
    <w:abstractNumId w:val="0"/>
  </w:num>
  <w:num w:numId="22">
    <w:abstractNumId w:val="15"/>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53C7"/>
    <w:rsid w:val="00021782"/>
    <w:rsid w:val="00026C79"/>
    <w:rsid w:val="00033E1C"/>
    <w:rsid w:val="00046DB0"/>
    <w:rsid w:val="00047088"/>
    <w:rsid w:val="00051E6B"/>
    <w:rsid w:val="00053DB9"/>
    <w:rsid w:val="00066456"/>
    <w:rsid w:val="00086D9D"/>
    <w:rsid w:val="00097E02"/>
    <w:rsid w:val="000A6C66"/>
    <w:rsid w:val="000B280D"/>
    <w:rsid w:val="000B3716"/>
    <w:rsid w:val="000B6131"/>
    <w:rsid w:val="000C35A5"/>
    <w:rsid w:val="000C5E04"/>
    <w:rsid w:val="000C6E74"/>
    <w:rsid w:val="000D5FE1"/>
    <w:rsid w:val="000D7AD4"/>
    <w:rsid w:val="000E066F"/>
    <w:rsid w:val="000E6F2C"/>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6615"/>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1F"/>
    <w:rsid w:val="002A71DC"/>
    <w:rsid w:val="002B0D12"/>
    <w:rsid w:val="002B1061"/>
    <w:rsid w:val="002B7C9C"/>
    <w:rsid w:val="002C5D29"/>
    <w:rsid w:val="002C7BFB"/>
    <w:rsid w:val="002C7C85"/>
    <w:rsid w:val="002D7E92"/>
    <w:rsid w:val="002E3E81"/>
    <w:rsid w:val="002E77E0"/>
    <w:rsid w:val="002F1C52"/>
    <w:rsid w:val="002F236C"/>
    <w:rsid w:val="002F2D19"/>
    <w:rsid w:val="002F76A7"/>
    <w:rsid w:val="0030128E"/>
    <w:rsid w:val="0030398E"/>
    <w:rsid w:val="003053AE"/>
    <w:rsid w:val="00307654"/>
    <w:rsid w:val="00317EB4"/>
    <w:rsid w:val="003204A3"/>
    <w:rsid w:val="00320777"/>
    <w:rsid w:val="00320DF3"/>
    <w:rsid w:val="003234D8"/>
    <w:rsid w:val="00323BDD"/>
    <w:rsid w:val="0035302C"/>
    <w:rsid w:val="00365DB9"/>
    <w:rsid w:val="00366684"/>
    <w:rsid w:val="00382C14"/>
    <w:rsid w:val="003970E1"/>
    <w:rsid w:val="003972B8"/>
    <w:rsid w:val="003A276D"/>
    <w:rsid w:val="003B18D0"/>
    <w:rsid w:val="003B3F0A"/>
    <w:rsid w:val="003C0B6E"/>
    <w:rsid w:val="003C1E9C"/>
    <w:rsid w:val="003D799D"/>
    <w:rsid w:val="003E0CE1"/>
    <w:rsid w:val="003E16CD"/>
    <w:rsid w:val="003E67C2"/>
    <w:rsid w:val="003E784C"/>
    <w:rsid w:val="003E7C6A"/>
    <w:rsid w:val="00401DC3"/>
    <w:rsid w:val="00405094"/>
    <w:rsid w:val="004270B5"/>
    <w:rsid w:val="004278A9"/>
    <w:rsid w:val="00427D52"/>
    <w:rsid w:val="00431A1C"/>
    <w:rsid w:val="00437AF7"/>
    <w:rsid w:val="00441254"/>
    <w:rsid w:val="00451E01"/>
    <w:rsid w:val="00465910"/>
    <w:rsid w:val="00472BC7"/>
    <w:rsid w:val="00472D8C"/>
    <w:rsid w:val="0047680F"/>
    <w:rsid w:val="00481813"/>
    <w:rsid w:val="00482A58"/>
    <w:rsid w:val="00483443"/>
    <w:rsid w:val="00490E6F"/>
    <w:rsid w:val="00492901"/>
    <w:rsid w:val="004A16BA"/>
    <w:rsid w:val="004A17A1"/>
    <w:rsid w:val="004A59FE"/>
    <w:rsid w:val="004A5AA5"/>
    <w:rsid w:val="004B19FA"/>
    <w:rsid w:val="004B76DC"/>
    <w:rsid w:val="004C0584"/>
    <w:rsid w:val="004C0EA7"/>
    <w:rsid w:val="004C2832"/>
    <w:rsid w:val="004C59C2"/>
    <w:rsid w:val="004D3D29"/>
    <w:rsid w:val="004E21A0"/>
    <w:rsid w:val="004E3B9B"/>
    <w:rsid w:val="004F2914"/>
    <w:rsid w:val="00503704"/>
    <w:rsid w:val="00504887"/>
    <w:rsid w:val="00510D28"/>
    <w:rsid w:val="00511D91"/>
    <w:rsid w:val="00513493"/>
    <w:rsid w:val="0051757D"/>
    <w:rsid w:val="00533F6E"/>
    <w:rsid w:val="00534E7A"/>
    <w:rsid w:val="005350A4"/>
    <w:rsid w:val="00535B92"/>
    <w:rsid w:val="00535BD7"/>
    <w:rsid w:val="00542DCF"/>
    <w:rsid w:val="00544104"/>
    <w:rsid w:val="00544DB2"/>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462"/>
    <w:rsid w:val="005C0DF3"/>
    <w:rsid w:val="005C691C"/>
    <w:rsid w:val="005E117A"/>
    <w:rsid w:val="005E3F97"/>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756E1"/>
    <w:rsid w:val="0078085C"/>
    <w:rsid w:val="007824F0"/>
    <w:rsid w:val="00783E47"/>
    <w:rsid w:val="00786871"/>
    <w:rsid w:val="00792436"/>
    <w:rsid w:val="00794936"/>
    <w:rsid w:val="007A0842"/>
    <w:rsid w:val="007A711B"/>
    <w:rsid w:val="007A72A4"/>
    <w:rsid w:val="007B0633"/>
    <w:rsid w:val="007B7D82"/>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23275"/>
    <w:rsid w:val="00830ADA"/>
    <w:rsid w:val="00832AAA"/>
    <w:rsid w:val="00843D5B"/>
    <w:rsid w:val="00845BEA"/>
    <w:rsid w:val="00863D8E"/>
    <w:rsid w:val="008673E9"/>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D1AB5"/>
    <w:rsid w:val="008E162A"/>
    <w:rsid w:val="008E19F6"/>
    <w:rsid w:val="008F1B06"/>
    <w:rsid w:val="008F2DA8"/>
    <w:rsid w:val="008F5D6E"/>
    <w:rsid w:val="00906A46"/>
    <w:rsid w:val="0091304A"/>
    <w:rsid w:val="009142CC"/>
    <w:rsid w:val="00914EB5"/>
    <w:rsid w:val="00916DE7"/>
    <w:rsid w:val="00924B9E"/>
    <w:rsid w:val="00925343"/>
    <w:rsid w:val="00934F2C"/>
    <w:rsid w:val="009363E1"/>
    <w:rsid w:val="009470B3"/>
    <w:rsid w:val="009528AC"/>
    <w:rsid w:val="00952C2E"/>
    <w:rsid w:val="009569E4"/>
    <w:rsid w:val="0095790E"/>
    <w:rsid w:val="00962F56"/>
    <w:rsid w:val="0098727A"/>
    <w:rsid w:val="0099337F"/>
    <w:rsid w:val="009A06B8"/>
    <w:rsid w:val="009A674E"/>
    <w:rsid w:val="009B1DED"/>
    <w:rsid w:val="009B480A"/>
    <w:rsid w:val="009B5E40"/>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52F08"/>
    <w:rsid w:val="00A53AD6"/>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5120"/>
    <w:rsid w:val="00B02A9A"/>
    <w:rsid w:val="00B03510"/>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7464"/>
    <w:rsid w:val="00BB38A4"/>
    <w:rsid w:val="00BB514A"/>
    <w:rsid w:val="00BB5E4C"/>
    <w:rsid w:val="00BC6ABF"/>
    <w:rsid w:val="00BD1454"/>
    <w:rsid w:val="00BD1BE8"/>
    <w:rsid w:val="00BD3725"/>
    <w:rsid w:val="00BE25B4"/>
    <w:rsid w:val="00BE2B92"/>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6C1"/>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A7BC0"/>
    <w:rsid w:val="00DB1A00"/>
    <w:rsid w:val="00DB35D6"/>
    <w:rsid w:val="00DB5F72"/>
    <w:rsid w:val="00DC2ABE"/>
    <w:rsid w:val="00DC45C1"/>
    <w:rsid w:val="00DC7D65"/>
    <w:rsid w:val="00DD1237"/>
    <w:rsid w:val="00DD42D5"/>
    <w:rsid w:val="00DD55F3"/>
    <w:rsid w:val="00DD65F7"/>
    <w:rsid w:val="00DE3859"/>
    <w:rsid w:val="00DF25EA"/>
    <w:rsid w:val="00DF4565"/>
    <w:rsid w:val="00E02E28"/>
    <w:rsid w:val="00E037B1"/>
    <w:rsid w:val="00E04405"/>
    <w:rsid w:val="00E11F71"/>
    <w:rsid w:val="00E20E41"/>
    <w:rsid w:val="00E32CBA"/>
    <w:rsid w:val="00E339A4"/>
    <w:rsid w:val="00E3596C"/>
    <w:rsid w:val="00E40F7B"/>
    <w:rsid w:val="00E4422C"/>
    <w:rsid w:val="00E44E62"/>
    <w:rsid w:val="00E51260"/>
    <w:rsid w:val="00E535AD"/>
    <w:rsid w:val="00E537A7"/>
    <w:rsid w:val="00E56E9B"/>
    <w:rsid w:val="00E57983"/>
    <w:rsid w:val="00E61F8F"/>
    <w:rsid w:val="00E64589"/>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F03098"/>
    <w:rsid w:val="00F05A55"/>
    <w:rsid w:val="00F12884"/>
    <w:rsid w:val="00F16C5D"/>
    <w:rsid w:val="00F17D3A"/>
    <w:rsid w:val="00F2282F"/>
    <w:rsid w:val="00F23DD7"/>
    <w:rsid w:val="00F3282C"/>
    <w:rsid w:val="00F60C73"/>
    <w:rsid w:val="00F61704"/>
    <w:rsid w:val="00F61F9E"/>
    <w:rsid w:val="00F656FC"/>
    <w:rsid w:val="00F71A33"/>
    <w:rsid w:val="00F745A6"/>
    <w:rsid w:val="00F74A3C"/>
    <w:rsid w:val="00F80216"/>
    <w:rsid w:val="00F82204"/>
    <w:rsid w:val="00F84999"/>
    <w:rsid w:val="00FA2661"/>
    <w:rsid w:val="00FA429D"/>
    <w:rsid w:val="00FA65FB"/>
    <w:rsid w:val="00FA67BE"/>
    <w:rsid w:val="00FB17D7"/>
    <w:rsid w:val="00FB42CE"/>
    <w:rsid w:val="00FB68BC"/>
    <w:rsid w:val="00FB6993"/>
    <w:rsid w:val="00FC3A6F"/>
    <w:rsid w:val="00FC618E"/>
    <w:rsid w:val="00FE5354"/>
    <w:rsid w:val="00FE67AE"/>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F9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F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7357">
      <w:bodyDiv w:val="1"/>
      <w:marLeft w:val="0"/>
      <w:marRight w:val="0"/>
      <w:marTop w:val="0"/>
      <w:marBottom w:val="0"/>
      <w:divBdr>
        <w:top w:val="none" w:sz="0" w:space="0" w:color="auto"/>
        <w:left w:val="none" w:sz="0" w:space="0" w:color="auto"/>
        <w:bottom w:val="none" w:sz="0" w:space="0" w:color="auto"/>
        <w:right w:val="none" w:sz="0" w:space="0" w:color="auto"/>
      </w:divBdr>
      <w:divsChild>
        <w:div w:id="1591543651">
          <w:marLeft w:val="763"/>
          <w:marRight w:val="0"/>
          <w:marTop w:val="154"/>
          <w:marBottom w:val="0"/>
          <w:divBdr>
            <w:top w:val="none" w:sz="0" w:space="0" w:color="auto"/>
            <w:left w:val="none" w:sz="0" w:space="0" w:color="auto"/>
            <w:bottom w:val="none" w:sz="0" w:space="0" w:color="auto"/>
            <w:right w:val="none" w:sz="0" w:space="0" w:color="auto"/>
          </w:divBdr>
        </w:div>
        <w:div w:id="1724333548">
          <w:marLeft w:val="763"/>
          <w:marRight w:val="0"/>
          <w:marTop w:val="154"/>
          <w:marBottom w:val="0"/>
          <w:divBdr>
            <w:top w:val="none" w:sz="0" w:space="0" w:color="auto"/>
            <w:left w:val="none" w:sz="0" w:space="0" w:color="auto"/>
            <w:bottom w:val="none" w:sz="0" w:space="0" w:color="auto"/>
            <w:right w:val="none" w:sz="0" w:space="0" w:color="auto"/>
          </w:divBdr>
        </w:div>
        <w:div w:id="115224766">
          <w:marLeft w:val="763"/>
          <w:marRight w:val="0"/>
          <w:marTop w:val="154"/>
          <w:marBottom w:val="0"/>
          <w:divBdr>
            <w:top w:val="none" w:sz="0" w:space="0" w:color="auto"/>
            <w:left w:val="none" w:sz="0" w:space="0" w:color="auto"/>
            <w:bottom w:val="none" w:sz="0" w:space="0" w:color="auto"/>
            <w:right w:val="none" w:sz="0" w:space="0" w:color="auto"/>
          </w:divBdr>
        </w:div>
        <w:div w:id="2082097996">
          <w:marLeft w:val="763"/>
          <w:marRight w:val="0"/>
          <w:marTop w:val="154"/>
          <w:marBottom w:val="0"/>
          <w:divBdr>
            <w:top w:val="none" w:sz="0" w:space="0" w:color="auto"/>
            <w:left w:val="none" w:sz="0" w:space="0" w:color="auto"/>
            <w:bottom w:val="none" w:sz="0" w:space="0" w:color="auto"/>
            <w:right w:val="none" w:sz="0" w:space="0" w:color="auto"/>
          </w:divBdr>
        </w:div>
        <w:div w:id="814028826">
          <w:marLeft w:val="763"/>
          <w:marRight w:val="0"/>
          <w:marTop w:val="154"/>
          <w:marBottom w:val="0"/>
          <w:divBdr>
            <w:top w:val="none" w:sz="0" w:space="0" w:color="auto"/>
            <w:left w:val="none" w:sz="0" w:space="0" w:color="auto"/>
            <w:bottom w:val="none" w:sz="0" w:space="0" w:color="auto"/>
            <w:right w:val="none" w:sz="0" w:space="0" w:color="auto"/>
          </w:divBdr>
        </w:div>
      </w:divsChild>
    </w:div>
    <w:div w:id="479881581">
      <w:bodyDiv w:val="1"/>
      <w:marLeft w:val="0"/>
      <w:marRight w:val="0"/>
      <w:marTop w:val="0"/>
      <w:marBottom w:val="0"/>
      <w:divBdr>
        <w:top w:val="none" w:sz="0" w:space="0" w:color="auto"/>
        <w:left w:val="none" w:sz="0" w:space="0" w:color="auto"/>
        <w:bottom w:val="none" w:sz="0" w:space="0" w:color="auto"/>
        <w:right w:val="none" w:sz="0" w:space="0" w:color="auto"/>
      </w:divBdr>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761991955">
      <w:bodyDiv w:val="1"/>
      <w:marLeft w:val="0"/>
      <w:marRight w:val="0"/>
      <w:marTop w:val="0"/>
      <w:marBottom w:val="0"/>
      <w:divBdr>
        <w:top w:val="none" w:sz="0" w:space="0" w:color="auto"/>
        <w:left w:val="none" w:sz="0" w:space="0" w:color="auto"/>
        <w:bottom w:val="none" w:sz="0" w:space="0" w:color="auto"/>
        <w:right w:val="none" w:sz="0" w:space="0" w:color="auto"/>
      </w:divBdr>
    </w:div>
    <w:div w:id="902256483">
      <w:bodyDiv w:val="1"/>
      <w:marLeft w:val="0"/>
      <w:marRight w:val="0"/>
      <w:marTop w:val="0"/>
      <w:marBottom w:val="0"/>
      <w:divBdr>
        <w:top w:val="none" w:sz="0" w:space="0" w:color="auto"/>
        <w:left w:val="none" w:sz="0" w:space="0" w:color="auto"/>
        <w:bottom w:val="none" w:sz="0" w:space="0" w:color="auto"/>
        <w:right w:val="none" w:sz="0" w:space="0" w:color="auto"/>
      </w:divBdr>
      <w:divsChild>
        <w:div w:id="452871383">
          <w:marLeft w:val="763"/>
          <w:marRight w:val="0"/>
          <w:marTop w:val="120"/>
          <w:marBottom w:val="0"/>
          <w:divBdr>
            <w:top w:val="none" w:sz="0" w:space="0" w:color="auto"/>
            <w:left w:val="none" w:sz="0" w:space="0" w:color="auto"/>
            <w:bottom w:val="none" w:sz="0" w:space="0" w:color="auto"/>
            <w:right w:val="none" w:sz="0" w:space="0" w:color="auto"/>
          </w:divBdr>
        </w:div>
        <w:div w:id="101341853">
          <w:marLeft w:val="1656"/>
          <w:marRight w:val="0"/>
          <w:marTop w:val="120"/>
          <w:marBottom w:val="0"/>
          <w:divBdr>
            <w:top w:val="none" w:sz="0" w:space="0" w:color="auto"/>
            <w:left w:val="none" w:sz="0" w:space="0" w:color="auto"/>
            <w:bottom w:val="none" w:sz="0" w:space="0" w:color="auto"/>
            <w:right w:val="none" w:sz="0" w:space="0" w:color="auto"/>
          </w:divBdr>
        </w:div>
        <w:div w:id="836966527">
          <w:marLeft w:val="1656"/>
          <w:marRight w:val="0"/>
          <w:marTop w:val="120"/>
          <w:marBottom w:val="0"/>
          <w:divBdr>
            <w:top w:val="none" w:sz="0" w:space="0" w:color="auto"/>
            <w:left w:val="none" w:sz="0" w:space="0" w:color="auto"/>
            <w:bottom w:val="none" w:sz="0" w:space="0" w:color="auto"/>
            <w:right w:val="none" w:sz="0" w:space="0" w:color="auto"/>
          </w:divBdr>
        </w:div>
        <w:div w:id="811367597">
          <w:marLeft w:val="1656"/>
          <w:marRight w:val="0"/>
          <w:marTop w:val="120"/>
          <w:marBottom w:val="0"/>
          <w:divBdr>
            <w:top w:val="none" w:sz="0" w:space="0" w:color="auto"/>
            <w:left w:val="none" w:sz="0" w:space="0" w:color="auto"/>
            <w:bottom w:val="none" w:sz="0" w:space="0" w:color="auto"/>
            <w:right w:val="none" w:sz="0" w:space="0" w:color="auto"/>
          </w:divBdr>
        </w:div>
        <w:div w:id="1931814615">
          <w:marLeft w:val="763"/>
          <w:marRight w:val="0"/>
          <w:marTop w:val="120"/>
          <w:marBottom w:val="0"/>
          <w:divBdr>
            <w:top w:val="none" w:sz="0" w:space="0" w:color="auto"/>
            <w:left w:val="none" w:sz="0" w:space="0" w:color="auto"/>
            <w:bottom w:val="none" w:sz="0" w:space="0" w:color="auto"/>
            <w:right w:val="none" w:sz="0" w:space="0" w:color="auto"/>
          </w:divBdr>
        </w:div>
        <w:div w:id="415324367">
          <w:marLeft w:val="1656"/>
          <w:marRight w:val="0"/>
          <w:marTop w:val="120"/>
          <w:marBottom w:val="0"/>
          <w:divBdr>
            <w:top w:val="none" w:sz="0" w:space="0" w:color="auto"/>
            <w:left w:val="none" w:sz="0" w:space="0" w:color="auto"/>
            <w:bottom w:val="none" w:sz="0" w:space="0" w:color="auto"/>
            <w:right w:val="none" w:sz="0" w:space="0" w:color="auto"/>
          </w:divBdr>
        </w:div>
        <w:div w:id="1302659886">
          <w:marLeft w:val="1656"/>
          <w:marRight w:val="0"/>
          <w:marTop w:val="120"/>
          <w:marBottom w:val="0"/>
          <w:divBdr>
            <w:top w:val="none" w:sz="0" w:space="0" w:color="auto"/>
            <w:left w:val="none" w:sz="0" w:space="0" w:color="auto"/>
            <w:bottom w:val="none" w:sz="0" w:space="0" w:color="auto"/>
            <w:right w:val="none" w:sz="0" w:space="0" w:color="auto"/>
          </w:divBdr>
        </w:div>
        <w:div w:id="689718952">
          <w:marLeft w:val="1656"/>
          <w:marRight w:val="0"/>
          <w:marTop w:val="120"/>
          <w:marBottom w:val="0"/>
          <w:divBdr>
            <w:top w:val="none" w:sz="0" w:space="0" w:color="auto"/>
            <w:left w:val="none" w:sz="0" w:space="0" w:color="auto"/>
            <w:bottom w:val="none" w:sz="0" w:space="0" w:color="auto"/>
            <w:right w:val="none" w:sz="0" w:space="0" w:color="auto"/>
          </w:divBdr>
        </w:div>
      </w:divsChild>
    </w:div>
    <w:div w:id="93443529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44">
          <w:marLeft w:val="1166"/>
          <w:marRight w:val="0"/>
          <w:marTop w:val="173"/>
          <w:marBottom w:val="0"/>
          <w:divBdr>
            <w:top w:val="none" w:sz="0" w:space="0" w:color="auto"/>
            <w:left w:val="none" w:sz="0" w:space="0" w:color="auto"/>
            <w:bottom w:val="none" w:sz="0" w:space="0" w:color="auto"/>
            <w:right w:val="none" w:sz="0" w:space="0" w:color="auto"/>
          </w:divBdr>
        </w:div>
        <w:div w:id="1607544294">
          <w:marLeft w:val="1166"/>
          <w:marRight w:val="0"/>
          <w:marTop w:val="173"/>
          <w:marBottom w:val="0"/>
          <w:divBdr>
            <w:top w:val="none" w:sz="0" w:space="0" w:color="auto"/>
            <w:left w:val="none" w:sz="0" w:space="0" w:color="auto"/>
            <w:bottom w:val="none" w:sz="0" w:space="0" w:color="auto"/>
            <w:right w:val="none" w:sz="0" w:space="0" w:color="auto"/>
          </w:divBdr>
        </w:div>
        <w:div w:id="1093668390">
          <w:marLeft w:val="1166"/>
          <w:marRight w:val="0"/>
          <w:marTop w:val="173"/>
          <w:marBottom w:val="0"/>
          <w:divBdr>
            <w:top w:val="none" w:sz="0" w:space="0" w:color="auto"/>
            <w:left w:val="none" w:sz="0" w:space="0" w:color="auto"/>
            <w:bottom w:val="none" w:sz="0" w:space="0" w:color="auto"/>
            <w:right w:val="none" w:sz="0" w:space="0" w:color="auto"/>
          </w:divBdr>
        </w:div>
        <w:div w:id="620769108">
          <w:marLeft w:val="1166"/>
          <w:marRight w:val="0"/>
          <w:marTop w:val="173"/>
          <w:marBottom w:val="0"/>
          <w:divBdr>
            <w:top w:val="none" w:sz="0" w:space="0" w:color="auto"/>
            <w:left w:val="none" w:sz="0" w:space="0" w:color="auto"/>
            <w:bottom w:val="none" w:sz="0" w:space="0" w:color="auto"/>
            <w:right w:val="none" w:sz="0" w:space="0" w:color="auto"/>
          </w:divBdr>
        </w:div>
      </w:divsChild>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6239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tuttle@mainequalitycount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0D23-8D5E-466B-93B9-B4A797E3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3045</Words>
  <Characters>17358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Lise Tancrede</cp:lastModifiedBy>
  <cp:revision>2</cp:revision>
  <cp:lastPrinted>2014-04-08T15:44:00Z</cp:lastPrinted>
  <dcterms:created xsi:type="dcterms:W3CDTF">2015-06-15T17:54:00Z</dcterms:created>
  <dcterms:modified xsi:type="dcterms:W3CDTF">2015-06-15T17:54:00Z</dcterms:modified>
</cp:coreProperties>
</file>